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header1.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9.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23.jpeg" ContentType="image/jpeg"/>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7.png" ContentType="image/png"/>
  <Override PartName="/word/media/image24.jpeg" ContentType="image/jpeg"/>
  <Override PartName="/word/media/image18.png" ContentType="image/png"/>
  <Override PartName="/word/media/image19.png" ContentType="image/png"/>
  <Override PartName="/word/media/image20.jpeg" ContentType="image/jpeg"/>
  <Override PartName="/word/media/image21.jpeg" ContentType="image/jpeg"/>
  <Override PartName="/word/media/image22.jpeg" ContentType="image/jpeg"/>
  <Override PartName="/word/media/image25.jpeg" ContentType="image/jpeg"/>
  <Override PartName="/word/media/image27.png" ContentType="image/png"/>
  <Override PartName="/word/media/image26.jpeg" ContentType="image/jpeg"/>
  <Override PartName="/word/header1.xml" ContentType="application/vnd.openxmlformats-officedocument.wordprocessingml.header+xml"/>
  <Override PartName="/word/theme/theme1.xml" ContentType="application/vnd.openxmlformats-officedocument.theme+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tbl>
      <w:tblPr>
        <w:tblW w:w="9945" w:type="dxa"/>
        <w:jc w:val="left"/>
        <w:tblInd w:w="-175" w:type="dxa"/>
        <w:tblCellMar>
          <w:top w:w="0" w:type="dxa"/>
          <w:left w:w="108" w:type="dxa"/>
          <w:bottom w:w="0" w:type="dxa"/>
          <w:right w:w="108" w:type="dxa"/>
        </w:tblCellMar>
        <w:tblLook w:firstRow="1" w:noVBand="1" w:lastRow="0" w:firstColumn="1" w:lastColumn="0" w:noHBand="0" w:val="04a0"/>
      </w:tblPr>
      <w:tblGrid>
        <w:gridCol w:w="1237"/>
        <w:gridCol w:w="1893"/>
        <w:gridCol w:w="1106"/>
        <w:gridCol w:w="1345"/>
        <w:gridCol w:w="61"/>
        <w:gridCol w:w="2035"/>
        <w:gridCol w:w="2267"/>
      </w:tblGrid>
      <w:tr>
        <w:trPr>
          <w:trHeight w:val="2437" w:hRule="atLeast"/>
        </w:trPr>
        <w:tc>
          <w:tcPr>
            <w:tcW w:w="1237" w:type="dxa"/>
            <w:vMerge w:val="restart"/>
            <w:tcBorders>
              <w:top w:val="single" w:sz="4" w:space="0" w:color="000000"/>
              <w:left w:val="single" w:sz="4" w:space="0" w:color="000000"/>
              <w:bottom w:val="single" w:sz="4" w:space="0" w:color="000000"/>
              <w:right w:val="single" w:sz="4" w:space="0" w:color="000000"/>
            </w:tcBorders>
            <w:textDirection w:val="btLr"/>
            <w:vAlign w:val="center"/>
          </w:tcPr>
          <w:p>
            <w:pPr>
              <w:pStyle w:val="Normal"/>
              <w:spacing w:before="0" w:after="160"/>
              <w:ind w:left="113" w:right="113" w:hanging="0"/>
              <w:jc w:val="center"/>
              <w:rPr>
                <w:rFonts w:cs="Calibri" w:cstheme="minorHAnsi"/>
              </w:rPr>
            </w:pPr>
            <w:r>
              <w:rPr>
                <w:rFonts w:eastAsia="Calibri" w:cs="Calibri" w:cstheme="minorHAnsi"/>
                <w:sz w:val="44"/>
                <w:szCs w:val="44"/>
              </w:rPr>
              <w:t>Servizio Sviluppo Investimenti Edilizia e Viabilità – Attuazione PNRR</w:t>
            </w:r>
          </w:p>
        </w:tc>
        <w:tc>
          <w:tcPr>
            <w:tcW w:w="8707" w:type="dxa"/>
            <w:gridSpan w:val="6"/>
            <w:tcBorders>
              <w:top w:val="single" w:sz="4" w:space="0" w:color="000000"/>
              <w:left w:val="single" w:sz="4" w:space="0" w:color="000000"/>
              <w:bottom w:val="single" w:sz="4" w:space="0" w:color="000000"/>
              <w:right w:val="single" w:sz="4" w:space="0" w:color="000000"/>
            </w:tcBorders>
          </w:tcPr>
          <w:p>
            <w:pPr>
              <w:pStyle w:val="Normal"/>
              <w:jc w:val="center"/>
              <w:rPr>
                <w:rFonts w:cs="Calibri" w:cstheme="minorHAnsi"/>
              </w:rPr>
            </w:pPr>
            <w:r>
              <w:rPr/>
              <w:drawing>
                <wp:inline distT="0" distB="0" distL="0" distR="0">
                  <wp:extent cx="648335" cy="878840"/>
                  <wp:effectExtent l="0" t="0" r="0" b="0"/>
                  <wp:docPr id="1" name="Immagin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9" descr=""/>
                          <pic:cNvPicPr>
                            <a:picLocks noChangeAspect="1" noChangeArrowheads="1"/>
                          </pic:cNvPicPr>
                        </pic:nvPicPr>
                        <pic:blipFill>
                          <a:blip r:embed="rId2"/>
                          <a:srcRect l="-200" t="-137" r="-200" b="-137"/>
                          <a:stretch>
                            <a:fillRect/>
                          </a:stretch>
                        </pic:blipFill>
                        <pic:spPr bwMode="auto">
                          <a:xfrm>
                            <a:off x="0" y="0"/>
                            <a:ext cx="648335" cy="878840"/>
                          </a:xfrm>
                          <a:prstGeom prst="rect">
                            <a:avLst/>
                          </a:prstGeom>
                        </pic:spPr>
                      </pic:pic>
                    </a:graphicData>
                  </a:graphic>
                </wp:inline>
              </w:drawing>
            </w:r>
          </w:p>
          <w:p>
            <w:pPr>
              <w:pStyle w:val="Normal"/>
              <w:spacing w:before="0" w:after="160"/>
              <w:jc w:val="center"/>
              <w:rPr>
                <w:rFonts w:cs="Calibri" w:cstheme="minorHAnsi"/>
              </w:rPr>
            </w:pPr>
            <w:r>
              <w:rPr>
                <w:rFonts w:eastAsia="Calibri" w:cs="Calibri" w:cstheme="minorHAnsi"/>
                <w:b/>
                <w:bCs/>
                <w:sz w:val="40"/>
                <w:szCs w:val="40"/>
              </w:rPr>
              <w:t>Provincia di Livorno</w:t>
            </w:r>
          </w:p>
        </w:tc>
      </w:tr>
      <w:tr>
        <w:trPr>
          <w:trHeight w:val="481"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8707" w:type="dxa"/>
            <w:gridSpan w:val="6"/>
            <w:tcBorders>
              <w:top w:val="single" w:sz="4" w:space="0" w:color="000000"/>
              <w:left w:val="single" w:sz="4" w:space="0" w:color="000000"/>
              <w:right w:val="single" w:sz="4" w:space="0" w:color="000000"/>
            </w:tcBorders>
          </w:tcPr>
          <w:p>
            <w:pPr>
              <w:pStyle w:val="Normal"/>
              <w:spacing w:before="0" w:after="160"/>
              <w:rPr>
                <w:rFonts w:cs="Calibri" w:cstheme="minorHAnsi"/>
              </w:rPr>
            </w:pPr>
            <w:r>
              <w:rPr>
                <w:rFonts w:eastAsia="Calibri" w:cs="Calibri" w:cstheme="minorHAnsi"/>
                <w:szCs w:val="14"/>
              </w:rPr>
              <w:t>Viabilità:</w:t>
            </w:r>
          </w:p>
        </w:tc>
      </w:tr>
      <w:tr>
        <w:trPr>
          <w:trHeight w:val="882"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8707" w:type="dxa"/>
            <w:gridSpan w:val="6"/>
            <w:tcBorders>
              <w:left w:val="single" w:sz="4" w:space="0" w:color="000000"/>
              <w:bottom w:val="single" w:sz="4" w:space="0" w:color="000000"/>
              <w:right w:val="single" w:sz="4" w:space="0" w:color="000000"/>
            </w:tcBorders>
            <w:vAlign w:val="center"/>
          </w:tcPr>
          <w:p>
            <w:pPr>
              <w:pStyle w:val="Normal"/>
              <w:spacing w:before="0" w:after="160"/>
              <w:jc w:val="center"/>
              <w:rPr>
                <w:rFonts w:cs="Calibri" w:cstheme="minorHAnsi"/>
              </w:rPr>
            </w:pPr>
            <w:r>
              <w:rPr>
                <w:rFonts w:eastAsia="Calibri" w:cs="Calibri" w:cstheme="minorHAnsi"/>
                <w:b/>
                <w:bCs/>
                <w:sz w:val="36"/>
                <w:szCs w:val="36"/>
              </w:rPr>
              <w:t>Ponti e opere d’arte di competenza provinciale</w:t>
            </w:r>
          </w:p>
        </w:tc>
      </w:tr>
      <w:tr>
        <w:trPr>
          <w:trHeight w:val="341"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8707" w:type="dxa"/>
            <w:gridSpan w:val="6"/>
            <w:tcBorders>
              <w:top w:val="single" w:sz="4" w:space="0" w:color="000000"/>
              <w:left w:val="single" w:sz="4" w:space="0" w:color="000000"/>
              <w:right w:val="single" w:sz="4" w:space="0" w:color="000000"/>
            </w:tcBorders>
            <w:vAlign w:val="center"/>
          </w:tcPr>
          <w:p>
            <w:pPr>
              <w:pStyle w:val="Normal"/>
              <w:spacing w:before="0" w:after="160"/>
              <w:rPr>
                <w:rFonts w:cs="Calibri" w:cstheme="minorHAnsi"/>
              </w:rPr>
            </w:pPr>
            <w:r>
              <w:rPr>
                <w:rFonts w:eastAsia="Calibri" w:cs="Calibri" w:cstheme="minorHAnsi"/>
                <w:szCs w:val="14"/>
              </w:rPr>
              <w:t>Oggetto Appalto:</w:t>
            </w:r>
          </w:p>
        </w:tc>
      </w:tr>
      <w:tr>
        <w:trPr>
          <w:trHeight w:val="5422"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8707" w:type="dxa"/>
            <w:gridSpan w:val="6"/>
            <w:tcBorders>
              <w:left w:val="single" w:sz="4" w:space="0" w:color="000000"/>
              <w:bottom w:val="single" w:sz="4" w:space="0" w:color="000000"/>
              <w:right w:val="single" w:sz="4" w:space="0" w:color="000000"/>
            </w:tcBorders>
            <w:vAlign w:val="center"/>
          </w:tcPr>
          <w:p>
            <w:pPr>
              <w:pStyle w:val="NoSpacing"/>
              <w:spacing w:lineRule="auto" w:line="252"/>
              <w:jc w:val="center"/>
              <w:rPr>
                <w:rFonts w:ascii="Calibri" w:hAnsi="Calibri" w:eastAsia="Calibri" w:cs="Calibri" w:asciiTheme="minorHAnsi" w:cstheme="minorHAnsi" w:hAnsiTheme="minorHAnsi"/>
                <w:b/>
                <w:b/>
                <w:bCs/>
                <w:kern w:val="0"/>
                <w:sz w:val="52"/>
                <w:szCs w:val="48"/>
                <w:lang w:eastAsia="en-US" w:bidi="ar-SA"/>
              </w:rPr>
            </w:pPr>
            <w:r>
              <w:rPr>
                <w:rFonts w:eastAsia="Calibri" w:cs="Calibri" w:ascii="Calibri" w:hAnsi="Calibri" w:asciiTheme="minorHAnsi" w:cstheme="minorHAnsi" w:hAnsiTheme="minorHAnsi"/>
                <w:b/>
                <w:bCs/>
                <w:kern w:val="0"/>
                <w:sz w:val="52"/>
                <w:szCs w:val="48"/>
                <w:lang w:eastAsia="en-US" w:bidi="ar-SA"/>
              </w:rPr>
              <w:t>ACCORDO QUADRO</w:t>
            </w:r>
          </w:p>
          <w:p>
            <w:pPr>
              <w:pStyle w:val="NoSpacing"/>
              <w:spacing w:lineRule="auto" w:line="252"/>
              <w:jc w:val="center"/>
              <w:rPr>
                <w:rFonts w:ascii="Calibri" w:hAnsi="Calibri" w:eastAsia="Calibri" w:cs="Calibri" w:asciiTheme="minorHAnsi" w:cstheme="minorHAnsi" w:hAnsiTheme="minorHAnsi"/>
                <w:b/>
                <w:b/>
                <w:bCs/>
                <w:kern w:val="0"/>
                <w:sz w:val="52"/>
                <w:szCs w:val="48"/>
                <w:lang w:eastAsia="en-US" w:bidi="ar-SA"/>
              </w:rPr>
            </w:pPr>
            <w:r>
              <w:rPr>
                <w:rFonts w:eastAsia="Calibri" w:cs="Calibri" w:ascii="Calibri" w:hAnsi="Calibri" w:asciiTheme="minorHAnsi" w:cstheme="minorHAnsi" w:hAnsiTheme="minorHAnsi"/>
                <w:b/>
                <w:bCs/>
                <w:kern w:val="0"/>
                <w:sz w:val="52"/>
                <w:szCs w:val="48"/>
                <w:lang w:eastAsia="en-US" w:bidi="ar-SA"/>
              </w:rPr>
              <w:t xml:space="preserve">LAVORI DI MANUTENZIONE </w:t>
            </w:r>
          </w:p>
          <w:p>
            <w:pPr>
              <w:pStyle w:val="NoSpacing"/>
              <w:spacing w:lineRule="auto" w:line="252"/>
              <w:jc w:val="center"/>
              <w:rPr>
                <w:rFonts w:ascii="Calibri" w:hAnsi="Calibri" w:eastAsia="Calibri" w:cs="Calibri" w:asciiTheme="minorHAnsi" w:cstheme="minorHAnsi" w:hAnsiTheme="minorHAnsi"/>
                <w:b/>
                <w:b/>
                <w:bCs/>
                <w:kern w:val="0"/>
                <w:sz w:val="52"/>
                <w:szCs w:val="48"/>
                <w:lang w:eastAsia="en-US" w:bidi="ar-SA"/>
              </w:rPr>
            </w:pPr>
            <w:r>
              <w:rPr>
                <w:rFonts w:eastAsia="Calibri" w:cs="Calibri" w:ascii="Calibri" w:hAnsi="Calibri" w:asciiTheme="minorHAnsi" w:cstheme="minorHAnsi" w:hAnsiTheme="minorHAnsi"/>
                <w:b/>
                <w:bCs/>
                <w:kern w:val="0"/>
                <w:sz w:val="52"/>
                <w:szCs w:val="48"/>
                <w:lang w:eastAsia="en-US" w:bidi="ar-SA"/>
              </w:rPr>
              <w:t>PONTI E OPERE D’ARTE</w:t>
            </w:r>
          </w:p>
          <w:p>
            <w:pPr>
              <w:pStyle w:val="NoSpacing"/>
              <w:spacing w:lineRule="auto" w:line="252"/>
              <w:jc w:val="center"/>
              <w:rPr>
                <w:rFonts w:ascii="Calibri" w:hAnsi="Calibri" w:cs="Calibri" w:asciiTheme="minorHAnsi" w:cstheme="minorHAnsi" w:hAnsiTheme="minorHAnsi"/>
              </w:rPr>
            </w:pPr>
            <w:r>
              <w:rPr>
                <w:rFonts w:cs="Calibri" w:cstheme="minorHAnsi" w:ascii="Calibri" w:hAnsi="Calibri"/>
              </w:rPr>
            </w:r>
          </w:p>
        </w:tc>
      </w:tr>
      <w:tr>
        <w:trPr>
          <w:trHeight w:val="552"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189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R.U.P:</w:t>
            </w:r>
          </w:p>
        </w:tc>
        <w:tc>
          <w:tcPr>
            <w:tcW w:w="6814" w:type="dxa"/>
            <w:gridSpan w:val="5"/>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ascii="Calibri" w:hAnsi="Calibri" w:cs="Calibri" w:cstheme="minorHAnsi"/>
              </w:rPr>
            </w:pPr>
            <w:r>
              <w:rPr>
                <w:rFonts w:eastAsia="Calibri" w:cs="Calibri" w:cstheme="minorHAnsi"/>
              </w:rPr>
              <w:t>Dott. Ing. Simone Lubrano</w:t>
            </w:r>
          </w:p>
        </w:tc>
      </w:tr>
      <w:tr>
        <w:trPr>
          <w:trHeight w:val="605"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189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Commessa:</w:t>
            </w:r>
          </w:p>
        </w:tc>
        <w:tc>
          <w:tcPr>
            <w:tcW w:w="2512" w:type="dxa"/>
            <w:gridSpan w:val="3"/>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2022_010</w:t>
            </w:r>
          </w:p>
        </w:tc>
        <w:tc>
          <w:tcPr>
            <w:tcW w:w="2035"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Finanziamento:</w:t>
            </w:r>
          </w:p>
        </w:tc>
        <w:tc>
          <w:tcPr>
            <w:tcW w:w="226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cs="Calibri" w:cstheme="minorHAnsi"/>
              </w:rPr>
            </w:pPr>
            <w:r>
              <w:rPr>
                <w:rFonts w:eastAsia="Calibri" w:cs="Calibri" w:cstheme="minorHAnsi"/>
              </w:rPr>
              <w:t>DM 225</w:t>
            </w:r>
          </w:p>
        </w:tc>
      </w:tr>
      <w:tr>
        <w:trPr>
          <w:trHeight w:val="798"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189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Elaborato:</w:t>
            </w:r>
          </w:p>
        </w:tc>
        <w:tc>
          <w:tcPr>
            <w:tcW w:w="6814" w:type="dxa"/>
            <w:gridSpan w:val="5"/>
            <w:tcBorders>
              <w:top w:val="single" w:sz="4" w:space="0" w:color="000000"/>
              <w:left w:val="single" w:sz="4" w:space="0" w:color="000000"/>
              <w:bottom w:val="single" w:sz="4" w:space="0" w:color="000000"/>
              <w:right w:val="single" w:sz="4" w:space="0" w:color="000000"/>
            </w:tcBorders>
            <w:vAlign w:val="center"/>
          </w:tcPr>
          <w:p>
            <w:pPr>
              <w:pStyle w:val="NoSpacing"/>
              <w:spacing w:lineRule="auto" w:line="252"/>
              <w:jc w:val="center"/>
              <w:rPr>
                <w:rFonts w:ascii="Calibri" w:hAnsi="Calibri" w:eastAsia="Calibri" w:cs="Calibri" w:asciiTheme="minorHAnsi" w:cstheme="minorHAnsi" w:hAnsiTheme="minorHAnsi"/>
                <w:b/>
                <w:b/>
                <w:bCs/>
                <w:kern w:val="0"/>
                <w:sz w:val="22"/>
                <w:lang w:eastAsia="en-US" w:bidi="ar-SA"/>
              </w:rPr>
            </w:pPr>
            <w:r>
              <w:rPr>
                <w:rFonts w:eastAsia="Calibri" w:cs="Calibri" w:ascii="Calibri" w:hAnsi="Calibri" w:asciiTheme="minorHAnsi" w:cstheme="minorHAnsi" w:hAnsiTheme="minorHAnsi"/>
                <w:b/>
                <w:bCs/>
                <w:kern w:val="0"/>
                <w:sz w:val="22"/>
                <w:lang w:eastAsia="en-US" w:bidi="ar-SA"/>
              </w:rPr>
              <w:t>CAPITOLATO SPECIALE D’APPALTO – PARTE II</w:t>
            </w:r>
          </w:p>
        </w:tc>
      </w:tr>
      <w:tr>
        <w:trPr>
          <w:trHeight w:val="292"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1893"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Codice elaborato:</w:t>
            </w:r>
          </w:p>
        </w:tc>
        <w:tc>
          <w:tcPr>
            <w:tcW w:w="1106"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ascii="Calibri" w:hAnsi="Calibri" w:eastAsia="Calibri" w:cs="Calibri" w:cstheme="minorHAnsi"/>
                <w:lang w:eastAsia="it-IT"/>
              </w:rPr>
            </w:pPr>
            <w:r>
              <w:rPr>
                <w:rFonts w:eastAsia="Calibri" w:cs="Calibri" w:cstheme="minorHAnsi"/>
              </w:rPr>
              <w:t>n. ord.</w:t>
            </w:r>
          </w:p>
        </w:tc>
        <w:tc>
          <w:tcPr>
            <w:tcW w:w="1345"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tipologia</w:t>
            </w:r>
          </w:p>
        </w:tc>
        <w:tc>
          <w:tcPr>
            <w:tcW w:w="2096"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n. ord. tipologia</w:t>
            </w:r>
          </w:p>
        </w:tc>
        <w:tc>
          <w:tcPr>
            <w:tcW w:w="226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commessa</w:t>
            </w:r>
          </w:p>
        </w:tc>
      </w:tr>
      <w:tr>
        <w:trPr>
          <w:trHeight w:val="606"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1893"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eastAsia="Calibri" w:cs="Calibri" w:cstheme="minorHAnsi"/>
              </w:rPr>
            </w:pPr>
            <w:r>
              <w:rPr>
                <w:rFonts w:eastAsia="Calibri" w:cs="Calibri" w:cstheme="minorHAnsi"/>
              </w:rPr>
            </w:r>
          </w:p>
        </w:tc>
        <w:tc>
          <w:tcPr>
            <w:tcW w:w="1106"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03</w:t>
            </w:r>
          </w:p>
        </w:tc>
        <w:tc>
          <w:tcPr>
            <w:tcW w:w="1345"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DTA</w:t>
            </w:r>
          </w:p>
        </w:tc>
        <w:tc>
          <w:tcPr>
            <w:tcW w:w="2096"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03</w:t>
            </w:r>
          </w:p>
        </w:tc>
        <w:tc>
          <w:tcPr>
            <w:tcW w:w="226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jc w:val="center"/>
              <w:rPr>
                <w:rFonts w:eastAsia="Calibri" w:cs="Calibri" w:cstheme="minorHAnsi"/>
              </w:rPr>
            </w:pPr>
            <w:r>
              <w:rPr>
                <w:rFonts w:eastAsia="Calibri" w:cs="Calibri" w:cstheme="minorHAnsi"/>
              </w:rPr>
              <w:t>2022_010</w:t>
            </w:r>
          </w:p>
        </w:tc>
      </w:tr>
      <w:tr>
        <w:trPr>
          <w:trHeight w:val="609"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1893"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Data Emissione:</w:t>
            </w:r>
          </w:p>
        </w:tc>
        <w:tc>
          <w:tcPr>
            <w:tcW w:w="2451"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cs="Calibri" w:cstheme="minorHAnsi"/>
              </w:rPr>
            </w:pPr>
            <w:r>
              <w:rPr>
                <w:rFonts w:eastAsia="Calibri" w:cs="Calibri" w:cstheme="minorHAnsi"/>
              </w:rPr>
              <w:t>DICEMBRE 2022</w:t>
            </w:r>
          </w:p>
        </w:tc>
        <w:tc>
          <w:tcPr>
            <w:tcW w:w="2096" w:type="dxa"/>
            <w:gridSpan w:val="2"/>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Aggiornamento:</w:t>
            </w:r>
          </w:p>
        </w:tc>
        <w:tc>
          <w:tcPr>
            <w:tcW w:w="2267"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160"/>
              <w:rPr>
                <w:rFonts w:eastAsia="Calibri" w:cs="Calibri" w:cstheme="minorHAnsi"/>
              </w:rPr>
            </w:pPr>
            <w:r>
              <w:rPr>
                <w:rFonts w:eastAsia="Calibri" w:cs="Calibri" w:cstheme="minorHAnsi"/>
              </w:rPr>
              <w:t>/</w:t>
            </w:r>
          </w:p>
        </w:tc>
      </w:tr>
      <w:tr>
        <w:trPr>
          <w:trHeight w:val="588" w:hRule="atLeast"/>
        </w:trPr>
        <w:tc>
          <w:tcPr>
            <w:tcW w:w="1237" w:type="dxa"/>
            <w:vMerge w:val="continue"/>
            <w:tcBorders>
              <w:top w:val="single" w:sz="4" w:space="0" w:color="000000"/>
              <w:left w:val="single" w:sz="4" w:space="0" w:color="000000"/>
              <w:bottom w:val="single" w:sz="4" w:space="0" w:color="000000"/>
              <w:right w:val="single" w:sz="4" w:space="0" w:color="000000"/>
            </w:tcBorders>
            <w:tcMar>
              <w:left w:w="10" w:type="dxa"/>
              <w:right w:w="10" w:type="dxa"/>
            </w:tcMar>
            <w:vAlign w:val="center"/>
          </w:tcPr>
          <w:p>
            <w:pPr>
              <w:pStyle w:val="Normal"/>
              <w:spacing w:before="0" w:after="0"/>
              <w:rPr>
                <w:rFonts w:cs="Calibri" w:cstheme="minorHAnsi"/>
              </w:rPr>
            </w:pPr>
            <w:r>
              <w:rPr>
                <w:rFonts w:cs="Calibri" w:cstheme="minorHAnsi"/>
              </w:rPr>
            </w:r>
          </w:p>
        </w:tc>
        <w:tc>
          <w:tcPr>
            <w:tcW w:w="1893" w:type="dxa"/>
            <w:tcBorders>
              <w:top w:val="single" w:sz="4" w:space="0" w:color="000000"/>
              <w:left w:val="single" w:sz="4" w:space="0" w:color="000000"/>
              <w:bottom w:val="single" w:sz="4" w:space="0" w:color="000000"/>
              <w:right w:val="single" w:sz="4" w:space="0" w:color="000000"/>
            </w:tcBorders>
          </w:tcPr>
          <w:p>
            <w:pPr>
              <w:pStyle w:val="Normal"/>
              <w:spacing w:before="0" w:after="160"/>
              <w:rPr>
                <w:rFonts w:eastAsia="Calibri" w:cs="Calibri" w:cstheme="minorHAnsi"/>
              </w:rPr>
            </w:pPr>
            <w:r>
              <w:rPr>
                <w:rFonts w:cs="Calibri" w:cstheme="minorHAnsi"/>
              </w:rPr>
              <w:t>Collaboratori:</w:t>
            </w:r>
          </w:p>
        </w:tc>
        <w:tc>
          <w:tcPr>
            <w:tcW w:w="6814" w:type="dxa"/>
            <w:gridSpan w:val="5"/>
            <w:tcBorders>
              <w:top w:val="single" w:sz="4" w:space="0" w:color="000000"/>
              <w:left w:val="single" w:sz="4" w:space="0" w:color="000000"/>
              <w:bottom w:val="single" w:sz="4" w:space="0" w:color="000000"/>
              <w:right w:val="single" w:sz="4" w:space="0" w:color="000000"/>
            </w:tcBorders>
          </w:tcPr>
          <w:p>
            <w:pPr>
              <w:pStyle w:val="Normal"/>
              <w:spacing w:before="0" w:after="160"/>
              <w:rPr>
                <w:rFonts w:eastAsia="Calibri" w:cs="Calibri" w:cstheme="minorHAnsi"/>
              </w:rPr>
            </w:pPr>
            <w:r>
              <w:rPr>
                <w:rFonts w:cs="Calibri" w:cstheme="minorHAnsi"/>
              </w:rPr>
              <w:t>Dott. Ing. Costanza Luppoli, Dott. Ing. Alessio Immorali, Geom. M. Gori, Stefano Peebes</w:t>
              <w:tab/>
            </w:r>
          </w:p>
        </w:tc>
      </w:tr>
    </w:tbl>
    <w:p>
      <w:pPr>
        <w:pStyle w:val="Normal"/>
        <w:rPr>
          <w:rFonts w:cs="Calibri" w:cstheme="minorHAnsi"/>
          <w:b/>
          <w:b/>
          <w:bCs/>
          <w:sz w:val="24"/>
          <w:szCs w:val="24"/>
        </w:rPr>
      </w:pPr>
      <w:r>
        <w:rPr>
          <w:rFonts w:cs="Calibri" w:cstheme="minorHAnsi"/>
          <w:b/>
          <w:bCs/>
          <w:sz w:val="24"/>
          <w:szCs w:val="24"/>
        </w:rPr>
      </w:r>
    </w:p>
    <w:p>
      <w:pPr>
        <w:pStyle w:val="PlainText"/>
        <w:rPr>
          <w:rFonts w:ascii="Calibri" w:hAnsi="Calibri" w:cs="Calibri" w:asciiTheme="minorHAnsi" w:cstheme="minorHAnsi" w:hAnsiTheme="minorHAnsi"/>
          <w:b/>
          <w:b/>
          <w:bCs/>
          <w:vanish/>
          <w:sz w:val="24"/>
          <w:szCs w:val="24"/>
        </w:rPr>
      </w:pPr>
      <w:r>
        <w:rPr>
          <w:rFonts w:cs="Calibri" w:ascii="Calibri" w:hAnsi="Calibri" w:asciiTheme="minorHAnsi" w:cstheme="minorHAnsi" w:hAnsiTheme="minorHAnsi"/>
          <w:b/>
          <w:bCs/>
          <w:sz w:val="24"/>
          <w:szCs w:val="24"/>
        </w:rPr>
        <w:t>CAPITOLATO SPECIALE D’APPALTO</w:t>
      </w:r>
    </w:p>
    <w:p>
      <w:pPr>
        <w:pStyle w:val="PlainText"/>
        <w:rPr>
          <w:rFonts w:ascii="Calibri" w:hAnsi="Calibri" w:cs="Calibri" w:asciiTheme="minorHAnsi" w:cstheme="minorHAnsi" w:hAnsiTheme="minorHAnsi"/>
          <w:b/>
          <w:b/>
          <w:bCs/>
          <w:sz w:val="20"/>
          <w:szCs w:val="20"/>
        </w:rPr>
      </w:pPr>
      <w:r>
        <w:rPr>
          <w:rFonts w:cs="Calibri" w:cstheme="minorHAnsi" w:ascii="Calibri" w:hAnsi="Calibri"/>
          <w:b/>
          <w:bCs/>
          <w:sz w:val="20"/>
          <w:szCs w:val="20"/>
        </w:rPr>
      </w:r>
    </w:p>
    <w:p>
      <w:pPr>
        <w:pStyle w:val="PlainText"/>
        <w:rPr>
          <w:rFonts w:ascii="Calibri" w:hAnsi="Calibri" w:cs="Calibri" w:asciiTheme="minorHAnsi" w:cstheme="minorHAnsi" w:hAnsiTheme="minorHAnsi"/>
          <w:b/>
          <w:b/>
          <w:bCs/>
          <w:sz w:val="20"/>
          <w:szCs w:val="20"/>
        </w:rPr>
      </w:pPr>
      <w:r>
        <w:rPr>
          <w:rFonts w:cs="Calibri" w:cstheme="minorHAnsi" w:ascii="Calibri" w:hAnsi="Calibri"/>
          <w:b/>
          <w:bCs/>
          <w:sz w:val="20"/>
          <w:szCs w:val="20"/>
        </w:rPr>
      </w:r>
    </w:p>
    <w:p>
      <w:pPr>
        <w:pStyle w:val="PlainText"/>
        <w:rPr>
          <w:rFonts w:ascii="Calibri" w:hAnsi="Calibri" w:cs="Calibri" w:asciiTheme="minorHAnsi" w:cstheme="minorHAnsi" w:hAnsiTheme="minorHAnsi"/>
          <w:b/>
          <w:b/>
          <w:bCs/>
          <w:sz w:val="24"/>
          <w:szCs w:val="24"/>
        </w:rPr>
      </w:pPr>
      <w:r>
        <w:rPr>
          <w:rFonts w:cs="Calibri" w:ascii="Calibri" w:hAnsi="Calibri" w:asciiTheme="minorHAnsi" w:cstheme="minorHAnsi" w:hAnsiTheme="minorHAnsi"/>
          <w:b/>
          <w:bCs/>
          <w:sz w:val="24"/>
          <w:szCs w:val="24"/>
        </w:rPr>
        <w:t>PARTITE SECONDA — PRESCRIZIONI TECNICHE QUALITA’ E PROVENIENZA DEI MATERIALI</w:t>
      </w:r>
      <w:bookmarkStart w:id="0" w:name="_Hlk119665024"/>
      <w:bookmarkEnd w:id="0"/>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QUALITA’ E PROVENIENZA DEI MATERIALI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 Materiali in genere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 Nell’esecuzione di tutte le lavorazioni, le forniture, i componenti, ecc. oggetto dell'appalto, devono essere rispettate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tutte le prescrizioni di legge e di regolamento in materia di qualità, provenienza e accettazione dei materiali e componenti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nonché, per quanto concerne la descrizione, i requisiti di prestazione e le modalità di esecuzione di ogni categoria di lavoro,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tutte le indicazioni contenute e richiamate contrattualmente nel Capitolato Speciale di Appalto, negli elaborati grafici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progetto definitivo-esecutivo e nella descrizione delle singole voci allegate allo stesso Capitolato. Per quanto riguarda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l’accettazione, la qualità e l’impiego dei materiali, la loro provvista, il luogo della loro provenienza e, l'eventuale sostituzione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quest’ultimo, si applicano rispettivamente l’art.167 del Regolamento DPR n 207/2010 e gli artt. 16 e 17 del Capitolato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Generale (D.M. n. 145/00).</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2. I materiali occorrenti per l'esecuzione dei lavori proverranno da quelle località che l’Appaltatore riterrà di sua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convenienza; purché ad insindacabile giudizio della Direzione Lavori siano riconosciuti della migliore qualità della specie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rispondano ai requisiti appresso indicati. Quando la Direzione Lavori avrà rifiutato qualche provvista perché ritenuta, a suo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insindacabile giudizio, non idonea ai lavori, l'Appaltatore dovrà sostituirla con altra che risponda ai requisiti voluti, ed 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materiali rifiutati dovranno essere immediatamente allontanati dalla sede del lavoro o dai cantieri a cura e spese dell'Appaltatore.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 Acqua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essere dolce, limpida, esente da tracce di cloruri o solfati, non inquinata da materie organiche o comunque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dannose all'uso cui le acque medesime sono destinate e rispondere ai requisiti stabiliti dalle norme tecniche emanate con D.M. 14 febbraio 1992 (S.0. alla G.U. n 65 del 18/3/1992) in applicazione dell'Art. 21 della Legge 1086 del 5 novembre 1971.</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Art.3 Leganti idraulici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corrispondere, come richiamato dal D.M. 14 febbraio 1992, alla legge 26 maggio 1965 n 595 (GU. n 143</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10.06.1965).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leganti idraulici si distinguono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 Cementi (di cui all'art. 1 lettera A) - B) - C) della legge 5953/1965). Dovranno rispondere alle caratteristiche tecniche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dettate da: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DM. 3.6.1968 che approva le “Nuove norme sui requisiti di accettazione e modalità di prova dei cementi” (G.U. n.</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180 del 17.7.1968).</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DM. 20.11.1984 “Modificazione al DM. 3.6.1968 recante norme sui requisiti di accettazione e modalità di prova dei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cementi” (G.U. n. 353 del 27.12.1984).</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Avviso di rettifica al D.M. 20.11.1984 (G.U. n 26 del 31.1.1985).</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DI 9.3.1988 n 126 “Regolamento del servizio di controllo e certificazione di qualità dei cementi”.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2) Agglomerati cementizi e calci idrauliche (di cui all'art. 1 lettera D) e E)della Legge 395/1965).  Dovranno rispondere alle caratteristiche tecniche dettate da: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DIM. 31.8.1972 che approva le “Norme sui requisiti di accettazione e modalità di prova degli agglomerati cementizi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delle calci idrauliche” (G.U. n 287 del 6.11.1972).</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4 Ghiaia, pietrischi e sabbia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corrispondere ai requisiti stabiliti dal D.M. 14 febbraio 1992 norme tecniche alle quali devono uniformarsi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costruzioni in conglomerato cementizio, normale e precompresso, ed a struttura metallica.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dimensioni dovranno essere sempre le maggiori tra quelle previste come compatibili per la struttura a cui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calcestruzzo è destinato; di norma però non si dovrà superare la larghezza di cm 5 (per larghezza s'intende la dimensione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dell'inerte misurato in una setacciatrice) se si tratta di lavori correnti di fondazione; di cm 4 se si tratta di getti per volti, per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lavori di elevazione, muri di sostegno, piedritti. rivestimenti di scarpate o simili: di cm 3 se si tratta di cementi armati; e di cm 2 se si tratta di cappe o di getti di limitato spessore (parapetti, cunette, copertine, ecc.).</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le caratteristiche di forma valgono le prescrizioni riportate nello specifico articolo riguardante i conglomerati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 Manufatti di cemento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manufatti di cemento di qualsiasi tipo dovranno essere fabbricati a regola d'arte, con dimensioni uniformi, dosature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spessore corrispondenti alle prescrizioni e ai tipi, saranno ben stagionati, di perfetto impasto e lavorazione, sonori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percussione senza screpolature e muniti delle eventuali opportune sagomature alle due estremità per consentire una sicura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connessione.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6 Bitumi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soddisfare ai requisiti stabiliti nelle corrispondenti “Norme per l'accettazione dei bitumi per usi stradali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per l'accettazione”, Ed. maggio 1978: “Norme per l'accettazione delle emulsioni bituminose per usi stradali”,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Fascicolo n. 3, Ed. 1958: “Norme per l'accettazione dei bitumi per usi stradali (Campionatura dei bitumi)”, Ed. 1980.</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7 Geotessile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Il telo “geotessile” avrà le seguenti caratteristiche: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Composizione: sarà costituito da polipropilene o poliestere senza l'impiego di collanti e potrà essere realizzato con le seguenti caratteristiche costruttive:</w:t>
      </w:r>
    </w:p>
    <w:p>
      <w:pPr>
        <w:pStyle w:val="PlainText"/>
        <w:numPr>
          <w:ilvl w:val="0"/>
          <w:numId w:val="2"/>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fibre a filo continuo;</w:t>
      </w:r>
    </w:p>
    <w:p>
      <w:pPr>
        <w:pStyle w:val="PlainText"/>
        <w:numPr>
          <w:ilvl w:val="0"/>
          <w:numId w:val="2"/>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fibre intrecciate con il sistema della tessitura industriale a "trama ed ordito".</w:t>
      </w:r>
    </w:p>
    <w:p>
      <w:pPr>
        <w:pStyle w:val="PlainText"/>
        <w:numPr>
          <w:ilvl w:val="0"/>
          <w:numId w:val="2"/>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fibre di adeguata lunghezza intrecciate mediante agugliatura meccanica.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telo “geotessile” dovrà altresi avere le seguenti caratteristiche fisico-meccaniche:</w:t>
      </w:r>
    </w:p>
    <w:p>
      <w:pPr>
        <w:pStyle w:val="PlainText"/>
        <w:numPr>
          <w:ilvl w:val="0"/>
          <w:numId w:val="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coefficiente di permeabilità: per filtrazioni trasversali, compreso fra 10-3 e 10-1 emi/sec (tali valori saranno misurati</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condizioni di sollecitazione analoghe a quelle in sito);</w:t>
      </w:r>
    </w:p>
    <w:p>
      <w:pPr>
        <w:pStyle w:val="PlainText"/>
        <w:numPr>
          <w:ilvl w:val="0"/>
          <w:numId w:val="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resistenza a trazione: misurata su striscia di 5 cm di larghezza non inferiore a 600 N/5cm (1), con allungamento a</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rottura compreso fra il 10% e l'85%. Qualora nei tratti in trincea il telo debba assolvere anche funzione di supporto per i sovrastanti strati della pavimentazione, la DL. potrà richiedere che la resistenza a trazione del telo impiegato sia non inferiore a 1200 N/5cem o a 1500 N/5cm fermi restando gli altri requisiti.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determinazione del peso e dello spessore del “geotessile” occorre effettuare le prove di laboratorio secondo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Norme C.N.R. pubblicate sul B.U. n. 110 del 23.12.1985 e sul BU. n. 111 del 24.12.1985.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Prova condotta su strisce di larghezza 5 cm e lunghezza nominale di 20 cm con velocità di deformazione costante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pari a 2 mm/sec; dal campione saranno prelevati 3 gruppi di 5 strisce cadauno secondo le tre direzioni: longitudinale,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trasversale e diagonale; per ciascun gruppo si scarteranno i valori minimo e massimo misurati e la media sui restanti 3 valori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risultare maggiore del valore richiesto.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PROVE SUI MATERIALI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Art.8 Certificato di qualità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per poter essere autorizzato ad impiegare i vari tipi di materiali (misti lapidei, conglomerati bituminosi,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conglomerati cementizi, barriere di sicurezza, terre, cementi, calci idrauliche, acciai, ecc...) prescritti dalle presenti Norme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Tecniche, dovrà esibire, prima dell'impiego, al Direttore dei Lavori, per ogni categoria di lavoro, i relativi “Certificati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qualità” rilasciati da un Laboratorio ufficiale.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Tali certificati dovranno contenere tutti i dati relativi alla provenienza e alla individuazione dei singoli materiali o loro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composizione, agli impianti o luoghi di produzione. nonché i dati risultanti dalle prove di laboratorio atte ad accertare i valori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caratteristici richiesti per le varie categorie di lavoro o di fornitura in un rapporto a dosaggi e composizioni proposte.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certificati che dovranno essere esibiti tanto se i materiali sono prodotti direttamente, quanto se prelevati da impianti,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cave, da stabilimenti anche se gestiti da terzi, avranno una validità biennale. I certificati dovranno comunque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rinnovati ogni qualvolta risultino incompleti o si verifichi una variazione delle caratteristiche dei materiali. delle miscele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degli impianti di produzione.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Art.9 Accertamenti preventivi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dell'inizio dei lavori comportanti l'impiego di materiali in quantità superiori a:</w:t>
      </w:r>
    </w:p>
    <w:p>
      <w:pPr>
        <w:pStyle w:val="PlainText"/>
        <w:numPr>
          <w:ilvl w:val="0"/>
          <w:numId w:val="3"/>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m3 per i materiali lapidei e conglomerati bituminosi, 500 m3 peri conglomerati cementizi.</w:t>
      </w:r>
    </w:p>
    <w:p>
      <w:pPr>
        <w:pStyle w:val="PlainText"/>
        <w:numPr>
          <w:ilvl w:val="0"/>
          <w:numId w:val="3"/>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50 t per i cementi e le calci,</w:t>
      </w:r>
    </w:p>
    <w:p>
      <w:pPr>
        <w:pStyle w:val="PlainText"/>
        <w:numPr>
          <w:ilvl w:val="0"/>
          <w:numId w:val="3"/>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5.000 m per le barriere,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Direttore dei Lavori, presa visione dei certificati di qualità presentati dall'Appaltatore, disporrà, se necessario (e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suo insindacabile giudizio) ulteriori prove di controllo di laboratorio a spese dell'Appaltatore.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i risultati di tali accertamenti fossero difformi rispetto a quelli dei certificati, si darà luogo alle necessarie variazioni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qualitative e quantitative dei singoli componenti, ed all'emissione di un muovo certificato di qualità.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tutti i ritardi nell'inizio dei lavori derivanti dalle difformità sopra accennate e che comportino una protrazione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tempo utile contrattuale sarà applicata la penale prevista nell'Art. “Tempo utile per dare compiuti i lavori - penalità in caso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ritardo” delle Norme Generali.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Art.10 Prove di controllo in fase esecutiva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sarà obbligato a prestarsi in ogni tempo e di norma periodicamente per le forniture di materiali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impiego continuo, alle prove ed esami dei materiali impiegati e da impiegare, che saranno richiesti dalla DL e dalla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Commissione di collaudo.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particolare, tutte le prove ed analisi dei materiali saranno eseguite, presso laboratorio ufficiale.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campioni verranno prelevati in contraddittorio.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Degli stessi potrà essere ordinata la conservazione nel competente Ufficio Compartimentale previa apposizione di sigilli e firme del Direttore dei Lavori e dell'Appaltatore e nei modi più adatti a garantirne l'autenticità e la conservazione.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risultati ottenuti in tali Laboratori saranno i soli riconosciuti validi dalle due parti; ad essi si farà esclusivo riferimento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tutti gli effetti delle presenti Norme Tecniche.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ACCIAIO DI ARMATURA PER C.A.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11 Tipi di acciaio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diverse tipologie di acciaio impiegabili sono:</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bare d'acciaio (6 mm ≤ Φ ≤ 40 mm), rotoli (6 mm≤ Φ≤16 mm);</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prodotti raddrizzati ottenuti da rotoli con diametri ≤ 16mm;</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reti elettrosaldate: 6 mm ≤ Φ ≤ 16 mm;</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tralicci elettrosaldati 6 min ≤ Φ 16 mm.</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bare d'acciaio (5 mm ≤ Φ ≤ 10 mm), rotoli (5 mm ≤ Φ ≤ 10 mm);</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prodotti raddrizzati ottenuti da rotoli con diametri ≤ 10mm;</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reti elettrosaldate: 5 mm ≤ 10mm;</w:t>
      </w:r>
    </w:p>
    <w:p>
      <w:pPr>
        <w:pStyle w:val="PlainText"/>
        <w:numPr>
          <w:ilvl w:val="0"/>
          <w:numId w:val="4"/>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tralicci elettrosaldati 5 mm ≤ 10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Ognuno di questi prodotti deve possedere tutti i requisiti previsti dal DM 17-01-2018. che specifica le caratteristiche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tecniche che devono essere verificate, i metodi di prova e le condizioni di prova.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L'acciaio deve essere qualificato all’origine, deve portare impresso, come prescritto dalle suddette norme, il marchio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indelebile che lo renda costantemente riconoscibile e riconducibile inequivocabilmente allo stabilimento di produzione.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12 Controlli sull’acciaio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controlli avverranno con le modalità e le frequenze indicate nei punti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precisa che per tutte le forniture dichiarate non idonee (e conseguentemente rifiutate) dalla Direzione dei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dovrà provvedere a sua cura e spese all'allontanamento dal cantiere ed al rimpiazzo con muove forniture.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Controllo della documentazione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cantiere è ammessa esclusivamente la fornitura e l’impiego di acciai saldabili B450C e B450A ad aderenza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migliorata, qualificati secondo le procedure indicate nel DM 17-01-2018 al § 11.3.1.6 e controllati con le modalità riportate</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nei §§ 11.3.2.10e 11.32.11 del citato decreto.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Tutte le forniture di acciaio devono essere accompagnate da copia dell’"Attestato di Qualificazione" rilasciato dal</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Consiglio Superiore dei LL.PP. - Servizio Tecnico Centrale.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centri di trasformazione sono impianti esterni alla fabbrica e al cantiere, fissi o mobili, che ricevono dal produttore di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acciaio elementi base (barre o rotoli, reti, lamiere o profilati. profilati cavi, ecc.) e confezionano elementi strutturali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direttamente impiegabili in cantiere (staffe. ferri piegati, gabbie, ecc.), pronti per la messa in opera o per successive ulteriori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lavorazioni. Tali centri devono possedere i requisiti ed operare in conformità alle disposizioni dei §811.3.1.7 e 11.3.2.10.3 del</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DM 17-01-2018.</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 prodotti provenienti dai centri di trasformazione è necessaria la documentazione atta ad assicurare che le lavorazioni effettuate non hanno alterato le caratteristiche meccaniche e geometriche dei prodotti previste dal DM 17-01-2018.</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Inoltre dovrà essere fornita alla Direzione dei Lavori la seguente documentazione aggiuntiva:</w:t>
      </w:r>
    </w:p>
    <w:p>
      <w:pPr>
        <w:pStyle w:val="PlainText"/>
        <w:numPr>
          <w:ilvl w:val="0"/>
          <w:numId w:val="5"/>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certificato di collaudo tipo 3.1 in conformità alla norma UNI EN 10204:</w:t>
      </w:r>
    </w:p>
    <w:p>
      <w:pPr>
        <w:pStyle w:val="PlainText"/>
        <w:numPr>
          <w:ilvl w:val="0"/>
          <w:numId w:val="5"/>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certificato Sistema Gestione Qualità UNI EN ISO 9001;</w:t>
      </w:r>
    </w:p>
    <w:p>
      <w:pPr>
        <w:pStyle w:val="PlainText"/>
        <w:numPr>
          <w:ilvl w:val="0"/>
          <w:numId w:val="5"/>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certificato Sistema Gestione Ambientale UNI EN ISO 14001;</w:t>
      </w:r>
    </w:p>
    <w:p>
      <w:pPr>
        <w:pStyle w:val="PlainText"/>
        <w:numPr>
          <w:ilvl w:val="0"/>
          <w:numId w:val="5"/>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dichiarazione di conformità al controllo radiometrico (che può anche essere inserita nel certificato di collaudo tipo</w:t>
      </w:r>
    </w:p>
    <w:p>
      <w:pPr>
        <w:pStyle w:val="PlainText"/>
        <w:numPr>
          <w:ilvl w:val="0"/>
          <w:numId w:val="5"/>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3.1);</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forniture effettuate da un commerciante o da un trasformatore intermedio dovranno essere accompagnate da copia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dei documenti rilasciati dal produttore e completati con il riferimento al documento di trasporto del commerciante 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trasformatore intermedio. In quest'ultimo caso per gli elementi presaldati, presagomati o preassemblati in aggiunta agli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r>
        <w:rPr>
          <w:rFonts w:cs="Calibri" w:ascii="Calibri" w:hAnsi="Calibri" w:asciiTheme="minorHAnsi" w:cstheme="minorHAnsi" w:hAnsiTheme="minorHAnsi"/>
          <w:sz w:val="18"/>
          <w:szCs w:val="18"/>
        </w:rPr>
        <w:t>Attestati di Qualificazione” dovranno essere consegnati i certificati delle prove fatte eseguire dal Direttore Tecnico del</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centro di trasformazione. Tutti i prodotti forniti in cantiere dopo l’intervento di un trasformatore intermedio devono essere dotati di una specifica marcatura che identifichi in modo inequivocabile il centro di trasformazione stesso, in aggiunta alla marcatura del prodotto di origine.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dei Lavori prima della messa in opera provvederà a verificare quanto sopra indicato; in particolare</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controllerà la rispondenza tra la marcatura riportata sull’acciaio con quella riportata sui certificati consegnati. La mancata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marcatura, la non corrispondenza a quanto depositato o la sua illeggibilità, anche parziale, rendono il prodotto non</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impiegabile e pertanto le forniture saranno rifiutate.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Controlli di accettazione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dei Lavori disporrà all'Impresa di eseguire, a proprie spese e sotto il controllo diretto della stessa DL.. 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controlli di accettazione sull’acciaio consegnato in cantiere in conformità con le indicazioni contenute nel DM 17-01-2018 al §11.3.2.10.4.</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campionamento ed il controllo di accettazione dovranno essere effettuati entro 30 giorni dalla data di consegna del</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All’interno di ciascun lotto (formato da massimo 30 t) consegnato e per tre differenti diametri delle barre in essa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contenuta, si dovrà procedere al campionamento di tre spezzoni di acciaio, sempre che il marchio e la documentazione di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accompagnamento dimostrino la provenienza del materiale da uno stesso stabilimento. In caso contrario i controlli devono essere estesi agli altri lotti presenti in cantiere e provenienti da altri stabilimenti.</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saranno accettati fasci di acciaio contenenti barre di differente marcatura.</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la fornitura di elementi sagomati o assemblati provenga da un Centro di trasformazione la Direzione dei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Lavori, dopo essersi accertata preliminarmente che il suddetto Centro di trasformazione sia in possesso di tutti i requisiti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previsti al § 11.3.1.7 del DM 17-01-2018, potrà usufruire del medesimo Centro di trasformazione per effettuare in</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stabilimento tutti i controlli di cui sopra. In tal caso le modalità di controllo sono definite al § 11.3.2.10.4 del DM 17-01-2018.</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Resta nella discrezionalità della Direzione dei Lavori effettuare tutti gli eventuali ulteriori controlli ritenuti opportuni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 indice di aderenza. saldabilità).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Art.13 Lavorazioni in cantiere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diametro minimo di piegatura deve essere tale da evitare fessure nella barra dovute alla piegatura e rottura del calcestruzzo nell'interno della piegatura.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definire i valori minimi da adottare ci si riferisce alle prescrizioni contenute nella UNI EN 1992-1-1 (Eurocodice 2) al § 8.3 “Diametri ammissibili dei mandrini per barre piegate”.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CALCESTRUZZI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14 Classificazione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Tutti i calcestruzzi impiegati saranno a “prestazione garantita”, in conformità alla UNI EN 206-1.</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Ciascuna tipologia di conglomerato dovrà soddisfare i seguenti requisiti in accordo con quanto richiesto dalle norme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UNI 11104 e UNI EN 206-1 in base alla classe (ovvero alle classi) di esposizione ambientale dell’opera cui il calcestruzzo è</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destinato:</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massimo rapporto (a/c).</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classe di resistenza caratteristica a compressione minima;</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classe di consistenza o indicazione numerica di abbassamento al cono ovvero, nei casi previsti al punto 6.3, classe di</w:t>
      </w:r>
    </w:p>
    <w:p>
      <w:pPr>
        <w:pStyle w:val="PlainText"/>
        <w:ind w:left="709"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spandimento alla tavola a scosse;</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aria aggiunta {solo per le classi di esposizione XF2, XF3, XF4);</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contenuto minimo di cemento al mc:</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di cemento (solo quando esplicitamente richiesto dalle norme succitate);</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diametro mass (DMAX) nominale dell’aggregato:</w:t>
      </w:r>
    </w:p>
    <w:p>
      <w:pPr>
        <w:pStyle w:val="PlainText"/>
        <w:numPr>
          <w:ilvl w:val="0"/>
          <w:numId w:val="6"/>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classe di contenuto in cloruri del calcestruzzo (secondo il § 5.2.7 della UNI EN 206-1</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15 Materiali costituenti i calcestruzzi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materiali ed i prodotti per uso strutturale utilizzati per la realizzazione di opere in c.a. e c.a.p. devono rispondere ai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requisiti indicati al § 11.1 del DM 17-01-2018.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particolare, per i materiali e prodotti recanti la Marcatura CE sarà onere del Direttore dei Lavori, in fase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accettazione, accertarsi del possesso della marcatura stessa e richiedere ad ogni fornitore, per ogni diverso prodotto,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certificato ovvero Dichiarazione di Conformità alla parte armonizzata della specifica norma europea ovvero allo specifico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Benestare Tecnico Europeo, per quanto applicabile.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Sarà inoltre onere del Direttore dei Lavori verificare che tali prodotti rientrino nelle tipologie, classi e/o famiglie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previsti nella detta documentazione.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 prodotti non recanti la Marcatura CE, il Direttore dei Lavori dovrà accertarsi del possesso e del regime di validità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dell’Attestato di Qualificazione (caso B) o del Certificato di Idoneità Tecnica all'impiego (caso C) rilasciato del Servizio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Tecnico Centrale del Consiglio Superiore dei Lavori Pubblici.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 eccezione di quelli in possesso di Marcatura CE, possono essere impiegati materiali o prodotti conformi ad altre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specifiche tecniche qualora dette specifiche garantiscano un livello di sicurezza equivalente a quello previsto nelle presenti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norme. Tale equivalenza sarà accertata attraverso procedure all'uopo stabilite dal Servizio Tecnico Centrale del Consiglio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Superiore dei Lavori Pubblici, sentito lo stesso Consiglio Superiore.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16 Qualifica preliminare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accordo al DM 17-01-2018 per la produzione del calcestruzzo si possono configurare due differenti possibilità:</w:t>
      </w:r>
    </w:p>
    <w:p>
      <w:pPr>
        <w:pStyle w:val="PlainText"/>
        <w:numPr>
          <w:ilvl w:val="0"/>
          <w:numId w:val="7"/>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calcestruzzo prodotto senza processo industrializzato;</w:t>
      </w:r>
    </w:p>
    <w:p>
      <w:pPr>
        <w:pStyle w:val="PlainText"/>
        <w:numPr>
          <w:ilvl w:val="0"/>
          <w:numId w:val="7"/>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calcestruzzo prodotto con processo industrializzato.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miscele, se prodotte con un processo industrializzato di cui meglio si specifica nel seguito, non necessitano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alcuna prequalifica, che si richiede invece per conglomerati prodotti senza processo industrializzato.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CALCESTRUZZO PRODOTTO SENZA PROCESSO INDUSTRIALIZZATO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situazione si configura unicamente nella produzione di quantitativi di miscele omogenee inferiori ai 1500 m</w:t>
      </w:r>
      <w:r>
        <w:rPr>
          <w:rFonts w:cs="Calibri" w:ascii="Calibri" w:hAnsi="Calibri" w:asciiTheme="minorHAnsi" w:cstheme="minorHAnsi" w:hAnsiTheme="minorHAnsi"/>
          <w:sz w:val="18"/>
          <w:szCs w:val="18"/>
          <w:vertAlign w:val="superscript"/>
        </w:rPr>
        <w:t>3</w:t>
      </w:r>
      <w:r>
        <w:rPr>
          <w:rFonts w:cs="Calibri" w:ascii="Calibri" w:hAnsi="Calibri" w:asciiTheme="minorHAnsi" w:cstheme="minorHAnsi" w:hAnsiTheme="minorHAnsi"/>
          <w:sz w:val="18"/>
          <w:szCs w:val="18"/>
        </w:rPr>
        <w:t>,</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effettuate direttamente in cantiere mediante processi di produzione temporanei e non industrializzati. In tal caso la produzione deve avvenire sotto la diretta responsabilità dell'Impresa e con la diretta vigilanza della Direzione dei Lavori. In questo caso, l’Impresa è tenuta ad effettuare la qualificazione iniziale delle miscele per mezzo della “Valutazione preliminare della Resistenza” (§ 11.2.3 del DM 17-01-2018) prima dell'inizio della costruzione dell’opera, attraverso idonee prove preliminari atte ad accertare la resistenza caratteristica per ciascuna miscela omogenea di conglomerato che sarà utilizzata per la costruzione dell’opera (indicata in tabella I).</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qualificazione iniziale di tutte le miscele utilizzate deve effettuarsi per mezzo di prove certificate da parte dei laboratori di cui all’art.59 del D.P.R n 380/2001.</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 relazione di prequalifica l'Impresa dovrà fare esplicito riferimento a:</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materiali che si intendono utilizzare, indicandone provenienza. tipo e qualità;</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documentazione comprovante la marcatura CE dei materiali costituenti;</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massa volumica reale s.s.a_ e assorbimento, per ogni classe di aggregato, valutati secondo la Norma UNI 8520;</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diametro nominale massimo degli aggregati e studio granulometrico;</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classe e dosaggio del cemento;</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rapporto acqua-cemento;</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massa volumica del calcestruzzo fresco e calcolo della resa;</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classe di esposizione ambientale cui è destinata la miscela;</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e dosaggio degli eventuali additivi:</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contenuto di aria della miscela;</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proporzionalmente analitico della miscela e resa volumetrica:</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classe di consistenza del calcestruzzo;</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resistenza caratteristica a compressione a 28 gg. (Rek) e risultati delle prove di resistenza a ci</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curve di resistenza nel tempo (almeno per îl periodo 3-28 giomi, salvo indicazioni differenti da parte della Direzione Lavori)</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dell'impianto di confezionamento e stato delle tarature;</w:t>
      </w:r>
    </w:p>
    <w:p>
      <w:pPr>
        <w:pStyle w:val="PlainText"/>
        <w:numPr>
          <w:ilvl w:val="0"/>
          <w:numId w:val="8"/>
        </w:numPr>
        <w:ind w:left="851"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sistemi di trasporto, di posa in opera e maturazione dei getti</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relazione di prequalifica, per ogni classe di conglomerato cementizio che figura in tabella I, dovrà essere sottoposta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all'esame della Direzione dei Lavori almeno 30 giorni prima dell'inizio dei relativi getti.</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Lavori autorizzerà l'inizio dei getti di conglomerato cementizio solo dopo aver esaminato ed approvato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detta relazione e dopo aver effettuato, in contraddittorio con l'Impresa, impasti di prova del calcestruzzo per la verifica dei requisiti di cui alla tabella I. Per la preparazione, la forma, le dimensioni e la stagionatura dei provini di calcestruzzo vale quanto indicato nelle norme UNI EN 12390-1:2002 e UNI EN 12390-2:2002. Circa il procedimento da seguire per la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determinazione della resistenza a compressione dei provini vale quanto indicato nelle norme UNI EN 12390-3:2003 e UNI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EN 12390-4:2002.</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miscele verranno autorizzate qualora la resistenza a compressione media per ciascun tipo di conglomerato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cementizio, misurata a 28 giorni sui provini prelevati dagli impasti di prova all'impianto di confezionamento, non si discosti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+10% dal valore indicato nella relazione di prequalifica.</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laboratori, il numero dei campioni e le modalità di prova saranno quelli indicati dalla Direzione Lavori.</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conformità al § 11.2.3 del DM 17-01-2018 si ribadisce che la responsabilità della qualità finale del calcestruzzo, che</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sarà controllata dalla Direzione Lavori secondo le procedure di cui al punto 6.2.1, resta comunque in capo all'Impresa.</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dei materiali e composizione degli impasti, definite in sede di prequalifica, non potranno essere</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modificati in corso d'opera. Qualora eccezionalmente si prevedesse una variazione dei materiali, la procedura di prequalifica dovrà essere ripetuta.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CALCESTRUZZO PRODOTTO CON PROCESSO INDUSTRIALIZZATO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situazione è contemplata dal DM 17-01-2018 al § 11.2.8, dove si definisce come calcestruzzo prodotto con</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processo industrializzato il conglomerato realizzato mediante impianti, strutture e tecniche organizzate sia all'interno del</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cantiere che in uno stabilimento esterno al cantiere stesso.</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conseguenza in questa fattispecie rientrano, a loro volta, due tipologie di produzione del calcestruzzo:</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1) calcestruzzo prodotto in impianti industrializzati fissi esterni al cantiere (impianti di preconfezionamento o di </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prefabbricazione);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2) calcestruzzo prodotto in impianti industrializzati installati nei cantieri (temporanei).</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questi casi gli impianti devono essere idonei ad una produzione costante, disporre di apparecchiature adeguate per il</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confezionamento, nonché di personale esperto e di attrezzature idonee a provare, valutare e correggere la qualità del prodotto.</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 fine di contribuire a garantire quest'ultimo punto, gli impianti devono essere dotati di un sistema di controllo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permanente della produzione allo scopo di assicurare che il prodotto abbia i requisiti previsti dal DM 17-01-2018 e che tali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requisiti siano costantemente mantenuti fino alla posa in opera.</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sistema di controllo, chiamato “controllo della produzione in fabbrica”, deve essere riferito a ciascun impianto ed.</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sostanzialmente differente dall’ordinario sistema di gestione della qualità aziendale al quale, tuttavia, può essere affiancato.</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sistema di controllo dovrà essere certificato da un organismo terzo indipendente di adeguata competenza e</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organizzazione, autorizzato dal Servizio Tecnico Centrale del Consiglio Superiore dei Lavori Pubblici, e che operi in</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coerenza con la UNI EN 45012. Quale riferimento per tale certificazione devono essere prese le Linee Guida sul calcestruzzo preconfezionato edite dal Servizio Tecnico Centrale del Consiglio Superiore dei Lavori Pubblici allo scopo di ottenere un calcestruzzo di adeguate caratteristiche reologiche, chimiche e meccaniche.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sistema di controllo di produzione in fabbrica dovrà comprendere le prove di autocontrollo, effettuate a cura del</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produttore secondo quanto previsto dalle Linee Guida sul calcestruzzo preconfezionato. L'organismo di certificazione.</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nell’ambito dell’ispezione delle singole unità produttive, procederà a verificare anche i laboratori utilizzati per le prove di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autocontrollo interno. In virtù di tale verifica e sorveglianza del controllo di produzione le prove di autocontrollo della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produzione sono sostitutive di quelle effettuate presso i laboratori di cui all'art. 59 del DPR n. 380/2001.</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dovrà soltanto consegnare alla Direzione Lavori, prima dell'inizio dei getti. copia dell'attestato di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certificazione del sistema di controllo di produzione in fabbrica: qualora le forniture provengano da impianti di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preconfezionamento esterni al cantiere ed estranei all’Impresa. quest’ultima sarà tenuta a richiedere copia dell'attestato di cui sopra al produttore di calcestruzzo.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Lavori verificherà quindi che i documenti accompagnatori di ciascuna fornitura in cantiere riportino gli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estremi della certificazione del sistema di controllo della produzione.</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Ove opportuno la Direzione dei Lavori potrà comunque richiedere la relazione preliminare di qualifica ed i relativi</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allegati (ad es. certificazione della marcatura CE dei materiali costituenti).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17 Controllo in corso d'opera</w:t>
      </w:r>
    </w:p>
    <w:p>
      <w:pPr>
        <w:pStyle w:val="PlainText"/>
        <w:rPr>
          <w:rFonts w:ascii="Calibri" w:hAnsi="Calibri" w:cs="Calibri" w:asciiTheme="minorHAnsi" w:cstheme="minorHAnsi" w:hAnsiTheme="minorHAnsi"/>
          <w:b/>
          <w:b/>
          <w:bCs/>
          <w:sz w:val="18"/>
          <w:szCs w:val="18"/>
        </w:rPr>
      </w:pPr>
      <w:r>
        <w:rPr>
          <w:rFonts w:cs="Calibri" w:cstheme="minorHAnsi" w:ascii="Calibri" w:hAnsi="Calibri"/>
          <w:b/>
          <w:bCs/>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Lavori eseguirà controlli periodici in corso d'opera per verificare la corrispondenza delle caratteristiche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dei materiali e degli impasti impiegati con quelle descritte al punto 6, definite nella tabella I e garantite in sede di qualifica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consentire l'effettuazione delle prove in tempi congruenti con le esigenze di avanzamento dei lavori, l'Impresa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disporre di uno o più laboratori attrezzati per l'esecuzione delle prove previste, in cantiere e/o presso l'impianto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confezionamento.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Art.18 Reologia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aggregati per il confezionamento del calcestruzzo, oltre a soddisfare le prescrizioni precedentemente riportate,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appartenere a non meno di tre classi granulometriche diverse. La percentuale di impiego di ogni singola classe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granulometrica verrà stabilita dal produttore con l’obiettivo di conseguire la massima densità dell’impasto. garantendo 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requisiti di lavorabilità e di resistenza alla segregazione di cui ai punti seguenti. La curva granulometrica ottenuta dalla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combinazione degli aggregati disponibili, inoltre, sarà quella capace di soddisfare le esigenze di posa in opera richieste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dall'impresa (ad esempio il pompaggio). quelle di resistenza meccanica a compressione e di durabilità richieste per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conglomerato.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dimensione nominale massima dell’aggregato (Dmax) è funzione delle dimensioni dei copriferri ed interferri, delle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geometriche delle casseforme, delle modalità di setto e del tipo di mezzi d'opera. Essa sarà definita dalle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prescrizioni di progetto per ciascuna tipologia di calcestruzzo.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19 Resistenza dei conglomerati cementizi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farà riferimento alle norme tecniche per le costruzioni di cui al DM 17-01-2018. In particolare, relativamente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resistenza caratteristica convenzionale a compressione, il calcestruzzo verrà individuato mediante la simbologia C (X/Y) dove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X è la resistenza caratteristica a compressione misurata su provini cilindrici (fck) con rapporto altezza/diametro pari a 2 ed Y</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la resistenza caratteristica a compressione valutata su provini cubici di lato 150 mm (Rck).</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Art.20 Controlli di accettazione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dei Lavori eseguirà i controlli di accettazione, secondo le modalità e la frequenza indicate ai §§ 11.22.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11.2.4 e 11.2.5 del DM 17-01-2018, su miscele omogenee di conglomerato come definite al §11.2.1 del citato Decreto.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prelievo del conglomerato per i controlli di accettazione si deve eseguire all'uscita della betoniera (non prima di aver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scaricato almeno 0.3 m</w:t>
      </w:r>
      <w:r>
        <w:rPr>
          <w:rFonts w:cs="Calibri" w:ascii="Calibri" w:hAnsi="Calibri" w:asciiTheme="minorHAnsi" w:cstheme="minorHAnsi" w:hAnsiTheme="minorHAnsi"/>
          <w:sz w:val="18"/>
          <w:szCs w:val="18"/>
          <w:vertAlign w:val="superscript"/>
        </w:rPr>
        <w:t>3</w:t>
      </w:r>
      <w:r>
        <w:rPr>
          <w:rFonts w:cs="Calibri" w:ascii="Calibri" w:hAnsi="Calibri" w:asciiTheme="minorHAnsi" w:cstheme="minorHAnsi" w:hAnsiTheme="minorHAnsi"/>
          <w:sz w:val="18"/>
          <w:szCs w:val="18"/>
        </w:rPr>
        <w:t xml:space="preserve"> di conglomerato e possibilmente a metà del carico), conducendo tutte le operazioni in conformità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le prescrizioni indicate nel DM 17-01-2018 e nella norma UNI-EN 206-1.</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prelievo di calcestruzzo dovrà essere sempre eseguito alla presenza di un incaricato della Direzione dei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particolare, i campioni di calcestruzzo devono essere preparati con casseforme rispondenti alla norma UNI EN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12390-1, confezionati secondo le indicazioni riportate nella norma UNI EN 12390-2 e provati presso un laboratorio Ufficiale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secondo la UNI EN 12390-3.</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casseforme devono essere realizzate con materiali ripidi al fine di prevenire deformazioni durante le operazioni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preparazione dei provini, devono essere a tenuta stagna e non assorbenti.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geometria delle casseforme deve essere cubica di lato pari a 150 mm o cilindrica con diametro pani a 150 mm ed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altezza pari a 300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Sulla superficie dei provini sarà applicata (annegandola nel calcestruzzo) un'etichetta di plastica/cartoncino rigido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sulla quale verrà riportata l’identificazione del campione con inchiostro indelebile; l'etichetta sarà siglata dalla Direzione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Lavori al momento del confezionamento dei provini.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L'esecuzione del campionamento deve essere accompagnata dalla stesura di un verbale di prelievo che riporti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seguenti indicazioni:</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Identificazione del campione;</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di calcestruzzo;</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numero di provini effettuati;</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codice del prelievo;</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metodo di compattazione adottato;</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numero del documento di trasporto;</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ubicazione del getto per il puntuale riferimento del calcestruzzo messo in opera (es. muro di sostegno, solaio di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copertura, soletta di ponte. ecc.);</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Identificazione del cantiere e dell'Impresa appaltatrice;</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Data e ora di confezionamento dei provini;</w:t>
      </w:r>
    </w:p>
    <w:p>
      <w:pPr>
        <w:pStyle w:val="PlainText"/>
        <w:numPr>
          <w:ilvl w:val="0"/>
          <w:numId w:val="9"/>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Firma del D.L..</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 termine del prelievo i provini verranno conservati in adeguate strutture predisposte dall’Impresa in ottemperanza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punto 5 del presente Capitolato, appoggiati al di sopra di una superficie orizzontale piana in posizione non soggetta ad urti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vibrazioni.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calcestruzzo campionato deve essere lasciato all’interno delle casseforme per almeno 16 h (in ogni caso non oltre i 3</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giorni). Trascorso questo termine i provini dovranno essere consegnati presso il Laboratorio incaricato di effettuare le prove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schiacciamento, ove si provvederà alla loro conservazione, una volta rimossi dalle casseforme, in acqua alla temperatura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costante di 20±2 °C oppure in ambiente termostatato posto alla temperatura di 20±2 °C ed umidità relativa superiore al 95%.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in cui i provini vengano conservati immersi nell'acqua, il contenitore deve avere dei ripiani realizzati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griglie (è consentito l’impiego di reti elettrosaldate) per fare in modo che tutte le superfici siano a contatto con l’acqua.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sarà responsabile delle operazioni di corretta conservazione dei provini campionati e della loro custodia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cantiere prima dell'invio al Laboratorio, nonché del trasporto e della consegna dei provini di calcestruzzo presso detto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Laboratorio unitamente ad una domanda ufficiale di richiesta prove sottoscritta dalla Direzione Lavori. la quale indicherà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posizione e il tipo di strutture interessate da ciascun prelievo.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certificati emessi dal Laboratorio dovranno contenere tutte le informazioni richieste al § 112.53 del DM 17-01-2018.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Art.21 Controllo della resistenza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in cui uno o più controlli di accettazione non dovessero risultare soddisfatti, oppure sorgano dubbi sulla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qualità e rispondenza ai valori di resistenza prescritti del calcestruzzo già messo in opera, la Direzione Lavori procederà ad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una valutazione delle caratteristiche di resistenza attraverso una serie di prove sia distruttive che non distruttive. Tali prove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devono, in ogni caso, intendersi sostitutive dei controlli di accettazione (§ 11.2.6 del DM 17-01-2018).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valor medio della resistenza del calcestruzzo in opera (definita come resistenza strutturale) è in genere inferiore 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valor medio della resistenza dei prelievi in fase di getto maturati in laboratorio (definita come resistenza potenziale).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accettabile un valore medio della resistenza strutturale (Rm.STIM), misurata con le tecniche distruttive e/o non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distruttive ritenute più opportune da parte della DL. e debitamente trasformata in resistenza cilindrica o cubica, non inferiore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all'85% del valore medio definito in fase di progetto secondo il DM 17-01-2018.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modalità di determinazione della resistenza strutturale si farà riferimento alle norme UNI EN 12504- 1:2002.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UNI EN 12504-2:2001, UNI EN 12504-3:2005, UNI EN 12504-4:2005 nonché alle Linee Guida per la messa in opera del calcestruzzo strutturale e per la valutazione delle caratteristiche meccaniche del calcestruzzo indurito mediante prove non distruttive pubblicate dal Servizio Tecnico Centrale del Consiglio Superiore dei LL.PP.</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dalle prove in opera non risultasse verificata la condizione succitata si procederà, a cura e spese dell'Impresa,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 un controllo teorico e/o sperimentale della struttura interessata dal quantitativo di conglomerato non conforme sulla base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valore caratteristico della resistenza strutturale rilevata sullo stesso (Rk,STIM).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Tali controlli e verifiche formeranno oggetto di una relazione supplementare nella quale si dimostri che,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ferme restando le ipotesi di vincoli e di carico delle strutture, la resistenza è ancora compatibile con le sollecitazioni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previste in progetto, secondo le prescrizioni delle vigenti norme di legge.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tale relazione sarà approvata dalla Direzione Lavori il calcestruzzo verrà contabilizzato in base al valore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resistenza caratteristica rilevata in opera.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Viceversa, nel caso in cui la resistenza non risulti compatibile con le sollecitazioni previste in progetto, la Direzione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dei Lavori valuterà come procedere in base alle seguenti ipotesi:</w:t>
      </w:r>
    </w:p>
    <w:p>
      <w:pPr>
        <w:pStyle w:val="PlainText"/>
        <w:numPr>
          <w:ilvl w:val="0"/>
          <w:numId w:val="10"/>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consolidamento dell’opera o delle parti interessate da non conformità, se ritenuto tecnicamente possibile dalla DIL. sentito il progettista, con i tempi e i metodi che questa potrà stabilire anche su proposta dell'Impresa. Resta inteso che la decisione finale sarà in capo alla DL.:</w:t>
      </w:r>
    </w:p>
    <w:p>
      <w:pPr>
        <w:pStyle w:val="PlainText"/>
        <w:numPr>
          <w:ilvl w:val="0"/>
          <w:numId w:val="10"/>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demolizione e rifacimento dell'opera o delle parti interessate da non conformità.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Tutti gli oneri relativi agli accertamenti di cui sopra, compresi gli eventuali consolidamenti, demolizioni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ricostruzioni, restano in capo all’Impresa.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Nessun indennizzo o compenso sarà dovuto all’Impresa nel caso in cui il valore caratteristico della resistenza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strutturale dovesse risultare maggiore di quella indicata nei calcoli statici, nei disegni di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specifica, inoltre, che la conformità nei riguardi della resistenza non implica necessariamente la conformità nei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riguardi della durabilità o di altre caratteristiche specifiche del calcestruzzo messo in opera; pertanto, qualora non fossero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rispettate le richieste di durabilità, la Direzione Lavori potrà ordinare all’Impresa di mettere in atto tutti gli accorgimenti (ad.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 ricoprimento delle superfici con guaine, protezione con vernici o agenti chimici nebulizzati, ecc.) che saranno ritenuti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opportuni e sufficienti alla garanzia della vita nominale dell’opera prevista dal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Tutti gli oneri derivanti dagli interventi anzidetti saranno a carico dell’Impresa.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Art.22 Lavorabilità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produttore del calcestruzzo dovrà adottare tutti gli accorgimenti in termini di ingredienti e di composizione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dell’impasto per garantire che il calcestruzzo possegga, al momento della consegna in cantiere, la lavorabilità prescritta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progetto e riportata per ogni specifica tipologia di conglomerato nella tabella 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Salvo diverse specifiche e/o accordi con la Direzione dei Lavori la lavorabilità al momento del getto verrà controllata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all’atto del prelievo dei campioni per i controlli d’accettazione della resistenza caratteristica convenzionale a compressione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secondo le indicazioni riportate. La misura della lavorabilità verrà condotta in accordo alla UNI-EN 206-1 dopo aver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proceduto a scaricare dalla betoniera almeno 0,3 m</w:t>
      </w:r>
      <w:r>
        <w:rPr>
          <w:rFonts w:cs="Calibri" w:ascii="Calibri" w:hAnsi="Calibri" w:asciiTheme="minorHAnsi" w:cstheme="minorHAnsi" w:hAnsiTheme="minorHAnsi"/>
          <w:sz w:val="18"/>
          <w:szCs w:val="18"/>
          <w:vertAlign w:val="superscript"/>
        </w:rPr>
        <w:t>3</w:t>
      </w:r>
      <w:r>
        <w:rPr>
          <w:rFonts w:cs="Calibri" w:ascii="Calibri" w:hAnsi="Calibri" w:asciiTheme="minorHAnsi" w:cstheme="minorHAnsi" w:hAnsiTheme="minorHAnsi"/>
          <w:sz w:val="18"/>
          <w:szCs w:val="18"/>
        </w:rPr>
        <w:t xml:space="preserve"> di calcestruzzo, e sarà effettuata mediante differenti metodologie.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particolare, la lavorabilità del calcestruzzo dovrà essere definita mediante:</w:t>
      </w:r>
    </w:p>
    <w:p>
      <w:pPr>
        <w:pStyle w:val="PlainText"/>
        <w:numPr>
          <w:ilvl w:val="0"/>
          <w:numId w:val="11"/>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valore dell’abbassamento al cono di Abrams (UNI-EN 12350-2) che definisce la classe di consistenza o uno slump</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numerico di riferimento oggetto di specifica, per abbassamenti fino a 230 mm;</w:t>
      </w:r>
    </w:p>
    <w:p>
      <w:pPr>
        <w:pStyle w:val="PlainText"/>
        <w:numPr>
          <w:ilvl w:val="0"/>
          <w:numId w:val="11"/>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misura del diametro di spandimento alla tavola a scosse (UNI-EN 12350-5), per abbassamenti superiori a</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230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il conglomerato cementizio viene pompato il valore della lavorabilità dovrà essere misurato prima dell'immissione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 pompa.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Sarà cura del fornitore garantire in ogni situazione la classe di consistenza prescritta per le diverse miscele tenendo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conto che è assolutamente vietata qualsiasi aggiunta di acqua in betoniera al momento del getto dopo l’inizio dello scarico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calcestruzzo dall’autobetoniera. La classe di consistenza prescritta verrà garantita per un intervallo di tempo di 30 minuti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dall’arrivo della betoniera in cantiere. Trascorso questo tempo sarà l'Impresa unica responsabile della eventuale minore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lavorabilità rispetto a quella prescritta. Il calcestruzzo con lavorabilità inferiore potrà essere a discrezione della Direzione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respinto (l'onere della muova fornitura in tal caso resta in capo all’Impresa);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accettato se esistono le condizioni, in relazione alla difficoltà di esecuzione del getto. per poter conseguire un completo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riempimento dei casseri ed una completa compattazione: tutti gli oneri denvanti dalla maggior richiesta di compattazione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restano a carico dell'Impresa.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 tempo massimo consentito dalla produzione dell’impasto in impianto al momento del getto non dovrà superare i 90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minuti e sarà onere del produttore riportare nel documento di trasporto l'orario effettivo di fine carico della betoniera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impianto. Si potrà operare in deroga a questa prescrizione in casi eccezionali quando i tempi di trasporto del calcestruzzo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dall’impianto al cantiere dovessero risultare superiori ai 75 minuti. In questa evenienza si potrà utilizzare il conglomerato fino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120 minuti dalla miscelazione purché esso possegga i requisiti di lavorabilità e resistenza iniziale prescritti.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DEMOLIZIONI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Art.23 Idrodemolizioni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idrodemolizione di strati di conglomerato cementizio su strutture di ponti e viadotti dovrà essere effettuata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l'impiego di idonee attrezzature atte ad assicurare getti d'acqua a pressione modulabile fino a 1500 bar, con portate fino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300 l/min, regolabili per quanto attiene la velocità operativa.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interventi dovranno risultare selettivi ed asportare gli strati di conglomerato degradati senza intaccare quelli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aventi resistenza uguale o superiore alla minima indicata in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dovrà provvedere all'approvvigionamento dell'acqua occorrente per la demolizione del materiale e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pulizia della superficie risultante.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attrezzature impiegate dovranno essere sottoposte alla preventiva approvazione della Direzione Lavori; dovranno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dotate di sistemi automatici di comando e controllo a distanza, nonché di idonei sistemi di sicurezza contro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proiezione del materiale demolito, dovendo operare anche in presenza di traffico.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rispondere inoltre alle vigenti norme di Legge in materia di prevenzione infortuni ed igiene del lavoro alle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quali l'Appaltatore dovrà uniformarsi in sede operativa.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24 Demolizioni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demolizioni di fabbricati e di murature di qualsiasi genere (armate e non, in precompresso), (ponti, viadotti ad arco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non, cavalcavia, scatolari ecc.), potranno essere integrali o in porzioni a sezione obbligata, eseguite in qualsiasi dimensione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anche in breccia, entro e fuori terra, a qualsiasi altezza.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Verranno impiegati i mezzi previsti dal progetto e/o ritenuti idonei dalla Direzione Lavori:</w:t>
      </w:r>
    </w:p>
    <w:p>
      <w:pPr>
        <w:pStyle w:val="PlainText"/>
        <w:numPr>
          <w:ilvl w:val="0"/>
          <w:numId w:val="11"/>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scalpellatura a mano o meccanica;</w:t>
      </w:r>
    </w:p>
    <w:p>
      <w:pPr>
        <w:pStyle w:val="PlainText"/>
        <w:numPr>
          <w:ilvl w:val="0"/>
          <w:numId w:val="11"/>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martello demolitore; o clipper;</w:t>
      </w:r>
    </w:p>
    <w:p>
      <w:pPr>
        <w:pStyle w:val="PlainText"/>
        <w:numPr>
          <w:ilvl w:val="0"/>
          <w:numId w:val="11"/>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attrezzature di taglio ad utensili diamantati;</w:t>
      </w:r>
    </w:p>
    <w:p>
      <w:pPr>
        <w:pStyle w:val="PlainText"/>
        <w:numPr>
          <w:ilvl w:val="0"/>
          <w:numId w:val="11"/>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agenti demolitori non esplosivi ad azione chimica con espansione lenta e senza propagazione dell'onda d'urto.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demolizioni dovranno essere eseguite con ordine e con le necessarie precauzioni in modo da prevenire qualsiasi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infortunio al personale addetto, evitando inoltre tassativamente di gettare dall'alto i materiali i quali dovranno invece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trasportati o guidati in basso.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Inoltre, l'Appaltatore dovrà prevedere, a sua cura e spese, ad adottare tutti gli accorgimenti tecnici per </w:t>
      </w:r>
    </w:p>
    <w:p>
      <w:pPr>
        <w:pStyle w:val="PlainText"/>
        <w:numPr>
          <w:ilvl w:val="0"/>
          <w:numId w:val="12"/>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puntellare e sbatacchiare le parti pericolanti e tutte le cautele al fine di non danneggiare terzi, le strutture sottostanti e le proprietà di terzi;</w:t>
      </w:r>
    </w:p>
    <w:p>
      <w:pPr>
        <w:pStyle w:val="PlainText"/>
        <w:numPr>
          <w:ilvl w:val="0"/>
          <w:numId w:val="12"/>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evitare danni ambientali ed in particolare la caduta di frammenti nei corsi d’acqua (o altre emergenze ambientali) ed il danneggiamento di questi con le strutture provvisionali ed i mezzi d'opera.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sarà pertanto responsabile di tutti i danni che una cattiva conduzione nelle operazioni di demolizioni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potessero arrecare alle persone, alle opere e cose, anche di terzi.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di demolizioni parziali potrà essere richiesto il trattamento con il getto di vapore a 373 K ed una pressione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0.7-0,8 MPa per ottenere superfici di attacco pulite e pronte a ricevere i nuovi getti: i ferri dovranno essere tagliati, sabbiati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risagomati secondo le disposizioni progettuali.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materiali di risulta resteranno di proprietà dell'Appaltatore la quale potrà reimpiegare quelli ritenuti idonei dalla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 fermo restando l'obbligo di allontanarli e di trasportare a discarica quelli rifiutati.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25 Demolizione di pavimentazione o massicciata stradale in conglomerato bituminoso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demolizione della pavimentazione in conglomerato bituminoso per l’intero spessore o per parte di esso dovrà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effettuata con idonee attrezzature munite di frese a tamburo funzionanti a freddo, con nastro caricatore per il carico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materiale di risulta.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Tali attrezzature dovranno essere preventivamente approvate dalla Direzione Lavori relativamente a caratteristiche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meccaniche, dimensioni e capacità produttiva; il materiale fresato dovrà risultare idoneo, ad esclusivo giudizio della stessa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 per il reimpiego nella confezione di conglomerati bituminosi.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demolizione dovrà rispettare rigorosamente gli spessori previsti in progetto o prescritti dalla Direzione Lavori e non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saranno pagati maggiori spessori rispetto a quelli previsti o prescritti.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la demolizione interessa uno spessore inferiore a 15 cm potrà essere effettuata con un solo passaggio di fresa: per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spessori superiori a 15 cm si dovranno effettuare due passaggi di cui il primo pari ad 1/3 dello spessore totale, avendo cura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formare longitudinalmente sui due lati dell'incavo un gradino tra il primo ed il secondo strato demolito di almeno lo cm.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superfici scarificate dovranno risultare perfettamente regolari in ogni punto, senza discontinuità che potrebbero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compromettere l'aderenza dei nuovi strati; i bordi delle superfici scarificate dovranno risultare verticali, rettilinei e privi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sgretolature.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pulizia del piano di scarifica dovrà essere effettuata con idonee attrezzature munite di spazzole rotanti e dispositivo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aspiranti in grado di dare il piano depolverizzato.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di pavimentazione su impalcati di opere d'arte, la demolizione dovrà eseguirsi con tutte le precauzioni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necessarie a garantire la perfetta integrità della sottostante soletta; in questi casi potrà essere richiesta la demolizione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scalpello a mano con l'ausilio del martello demolitore.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Solamente quando previsto in progetto e in casi eccezionali, si potrà eseguire la demolizione della massicciata stradale,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o senza conglomerato bituminoso, anche su opere d'arte, con macchina escavatrice od analoga e nel caso in cui il bordo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pavimentazione residua debba avere un profilo regolare, per il taglio perimetrale si dovrà fare uso della sega clipper.</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MANUFATTI PREFABBRICATI IN CONGLOMERATO CEMENTIZIO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Art.26 Manufatti prodotti in serie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AI § 4.1.10 del DM 17-01-2018 sono riportate le definizioni e le caratteristiche di conformità degli elementi prefabbricati prodotti in serie dichiarata e/o controllata.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dovrà far pervenire alla Direzione dei Lavori, all'atto della fornitura, i documenti di accompagnamento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previsti al § 11.8.5 del DM 17-01-2018. In particolare, la Direzione Lavori controllerà che gli ambiti di competenza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ciascuna figura professionale richiamata dal citato decreto siano stati rispettati.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eventuali forniture non conformi alle succitate disposizioni saranno rifiutate.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precisa che a tutti gli elementi prefabbricati dotati di marcatura CE si applica quanto riportato nei punti A) oppure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 del § 11.1 del DM 17-01-2018. In tali casi, inoltre, si considerano assolti i requisiti procedurali di cui al deposito ai sensi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dell’art.9 della Legge 05.11.71 n.1086 ed alla certificazione di idoneità di cui agli artt. 1 e 7 della Legge 02.02.74 n.64. Resta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comunque l’obbligo del deposito del progetto presso il competente ufficio regionale. Ai fini dell'impiego, tali prodotti devono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comunque rispettare, laddove applicabili, i §§ 11.8.2, 11.8.3.4 ed 11.8.5 del DM 17-01-2018, per quanto non in contrasto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specifiche tecniche europee armonizzate.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Ai fini della verifica di quanto sopra l'Impresa dovrà consegnare alla Direzione Lavori, all'atto della fornitura, tutta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documentazione inerente la marcatura CE dei manufatti.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Art.27 Tolleranze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Lavori procederà sistematicamente, sia in corso d’opera che a struttura ultimata, alla verifica delle quote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dimensioni indicate nel progetto esecutivo.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Nelle opere finite gli scostamenti ammissibili (tolleranze) rispetto alle dimensioni e/o quote dei progetti sono riportate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seguito per i vari elementi strutturali: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Predalle. velette, solette e solettoni per impalcati. solai in genere: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spessore: S=-0.5 cm o +1.0 cm</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quota altimetrica estradosso: S=±10cm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Vani. cassette, inserterie: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posizionamento e dimensione vani e cassette: S=± 1.5 cm</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posizionamenti inserti (piastre, boccole): S=±10cm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ogni caso gli scostamenti dimensionali negativi non devono ridurre i copriferri minimi prescritti dal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le tolleranze sopra riportate sono possibili variazioni qualora:</w:t>
      </w:r>
    </w:p>
    <w:p>
      <w:pPr>
        <w:pStyle w:val="PlainText"/>
        <w:numPr>
          <w:ilvl w:val="0"/>
          <w:numId w:val="14"/>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progetto esecutivo stati indicati valori differenti per gli scostamenti ammessi;</w:t>
      </w:r>
    </w:p>
    <w:p>
      <w:pPr>
        <w:pStyle w:val="PlainText"/>
        <w:numPr>
          <w:ilvl w:val="0"/>
          <w:numId w:val="14"/>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dei Lavori, per motivate necessità, faccia esplicita richiesta di variazione dei valori.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Art.28 Stoccaggio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materiali dovranno essere posti a stoccaggio in maniera propria, e più precisamente:</w:t>
      </w:r>
    </w:p>
    <w:p>
      <w:pPr>
        <w:pStyle w:val="PlainText"/>
        <w:numPr>
          <w:ilvl w:val="0"/>
          <w:numId w:val="15"/>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dovrà evitare qualsiasi danneggiamento:</w:t>
      </w:r>
    </w:p>
    <w:p>
      <w:pPr>
        <w:pStyle w:val="PlainText"/>
        <w:numPr>
          <w:ilvl w:val="0"/>
          <w:numId w:val="15"/>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dovrà evitare la costante esposizione di una parte del manufatto a condizioni sistematicamente diverse della rimanente</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(esposizione al sole, ecc.);</w:t>
      </w:r>
    </w:p>
    <w:p>
      <w:pPr>
        <w:pStyle w:val="PlainText"/>
        <w:numPr>
          <w:ilvl w:val="0"/>
          <w:numId w:val="16"/>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dovrà evitare che i punti di appoggio inducano o favoriscano deformazioni lente che possano pregiudicare l'esatto posizionamento e/o una variazione dimensionale tale da pregiudicare il montaggio stesso e/o un rilassamento dei cavi di precompressione non ammissibile.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essere comunicati preventivamente alla Direzione Lavori il tempo minimo e massimo di stoccaggio.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Ciascun elemento dovrà essere marcato in maniera permanente, mediante un numero di matricola che ne permetta l’univoca identificazione.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Art.29 Trasporto e montaggio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Modalità e tempi di trasporto e montaggio del manufatto dovranno essere tali da evitare danneggiamenti allo stesso.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Parimenti le modalità di trasporto e montaggio dovranno essere oggetto di studio in fase di progettazione e dovranno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esplicitamente indicate, insieme alle tolleranze di montaggio, negli elaborati costruttivi del manufatto.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 ganci di sollevamento in barre da c.a. si farà riferimento all'Articolo “Acciai da c.a.” delle presenti Norme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Tecniche.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 fase di posa e regolazione degli elementi prefabbricati si devono adottare gli accorgimenti necessari per ridurre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sollecitazioni di natura dinamica conseguenti al movimento degli elementi e per evitare forti concentrazioni di sforzo.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dispositivi di regolazione devono consentire il rispetto delle tolleranze previste nel progetto, tenendo conto sia di quelle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produzione degli elementi prefabbricati, sia di quelle di esecuzione dell'unione.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eventuali dispositivi di vincolo impiegati durante la posa se lasciati definitivamente in sito non devono alterare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corretto funzionamento dell'unione realizzata e comunque generare concentrazioni di sforzo.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di travi prefabbricate di lunghezza L, salvo più restrittive specifiche progettuali che saranno indicate nei disegni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costruttivi del manufatto, andranno rispettati i seguenti limiti (S= scarto ammissibile) nel montaggio: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posizionamento appoggi nel senso longitudinale: S=±L/2000 (minimo ±1cm);</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posizionamento appoggi nel senso trasversale: S≤± 1cm;</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posizionamento altimetrico appoggi : assoluto S≤± 0.5cm: relativo tra appoggi di uno stesso impalcato lungo un</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asse appoggi S≤±1mm;</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parallelismo piani di appoggio travi pulvino: S ≤± 0.003rad.</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le travi vengano poste su appoggi provvisori per essere trasferite su quelli definitivi dopo aver effettuato 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collegamenti trasversali, andranno valutate le sollecitazioni dovute alle tolleranze di posizionamento precedentemente indicate.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rispetto delle vigenti norme antinfortunistiche i mezzi di sollevamento dovranno essere proporzionati per la massima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prestazione prevista nel programma di montaggio; inoltre nella fase di messa in opera dell'elemento prefabbricato fino 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contatto con gli appoggi, i mezzi devono avere velocità di posa commisurata con le caratteristiche del piano di appoggio e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quella dell'elemento stesso. La velocità di discesa deve essere tale da poter considerare non influenti le forze dinamiche di urto.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presenza di getti integrativi eseguiti in opera, che concorrono alla stabilità della struttura anche nelle fasi intermedie,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programma di montaggio sarà condizionato dai tempi di maturazione richiesti per questi, secondo le prescrizioni di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L'elemento può essere svincolato dall'apparecchiatura di posa solo dopo che è stata assicurata la sua stabilità.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L'elemento deve essere stabile di fronte all'azione del:</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peso propri;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vento;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azioni di successive operazioni di montaggio;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azioni orizzontali convenzionali.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L'attrezzatura impiegata per garantire la stabilità nella fase transitoria che precede il definitivo completamento dell'opera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deve essere munita di apparecchiature, ove necessarie, per consentire, in condizioni di sicurezza, le operazioni di registrazione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dell'elemento (piccoli spostamenti delle tre coordinate, piccole rotazioni, ecc.) e, dopo il fissaggio definitivo degli elementi,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operazioni di recupero dell'attrezzatura stessa, senza provocare danni agli elementi stessi.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temporaneamente labili o instabili nel loro insieme. e se ne deve dare preventiva documentazione alla Direzione Lavon.</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corrispondenza dei manufatti al progetto sotto tutti gli aspetti rilevabili al montaggio (forme, dimensioni e relative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tolleranze) sarà verificata dalla Direzione dei lavori, che escluderà l'impiego di manufatti non rispondenti.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30 Appoggi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appoggi devono essere tali da soddisfare le condizioni di resistenza dell'elemento appoggiato, dell'eventuale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apparecchio di appoggio e del sostegno, tenendo conto delle variazioni termiche, della deformabilità delle strutture e dei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fenomeni lenti.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elementi di solaio o simili deve essere garantita una profondità dell'appoggio, a posa avvenuta, conforme agli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elaborati progettuali e comunque non inferiore a 3 cm se è prevista in opera la formazione della continuità dell'unione, e non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inferiore a 5 cm se definitivo. Per appoggi discontinui (nervature, denti) i valori precedenti vanno raddoppiati.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le travi, la profondità minima dell'appoggio definitivo deve essere conforme agli elaborati progettuali e comunque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inferiore a (8 +L/300) cm, essendo «L» la luce netta della trave in centimetri.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31 Oneri specifici dell'appaltatore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Oltre a tutti gli oneri di cui alle presenti Norme Tecniche sono a completo carico dell’ Appaltatore tutti gli oneri, nessuno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escluso, per dare il lavoro compiuto a perfetta regola d’arte. tra cui, a titolo esemplificativo e non esaustivo: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elaborati costruttivi degli elementi prefabbricati con le indicazioni relative a stoccaggio, trasporto e posa in opera dei manufatti;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effettuare le lavorazioni anche con soluzione di continuità;</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subordinare le operazioni di posa in opera alle indicazioni fomite dal monitoraggio in corso d'opera;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provvedere alla mobilitazione di attrezzature in numero, potenza e capacità operativa tali da consentire una</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produttività congruente con i programmi di lavoro previsti; le attrezzature dovranno essere altresì le più idonee alle condizioni ambientali, strategiche ed idrogeologiche dei terreni interessati;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adottare tutti gli accorgimenti necessari ad attenuare i disturbi alle persone derivanti dalle vibrazioni e dai rumori connessi alle attività in corso, e ad evitare danni a opere e manufatti preesistenti;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eseguire tutti i controlli e le prove prescritti dalle presenti Norme Tecniche, così come quelli integrativi che a</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giudizio della Direzione Lavori, si rendessero necessari per garantire le qualità e le caratteristiche prestazionali previste nel progetto;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realizzare tutte le opere provvisionali che si rendesse necessario costruire per la presenza vicino all’opera di fabbricati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e/o manufatti;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adottare tutti i provvedimenti previsti nel piano di sicurezza e coordinamento;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riparazione di eventuali danni causati, nonché le prestazioni di personale idoneo nel caso di necessità.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CARPENTERIA METALLICA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32 Normativa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sarà tenuta all'osservanza: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Legge 3 novembre 1971, n. 1086 “Norme per la disciplina delle opere di conglomerato cementizio armato,</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normale e precompresso ed a struttura metallica” (G.U. n. 321 del 21.12.1971):</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Decreto del Presidente della Repubblica n. 330 del 6 giugno 2001, “Testo Unico delle disposizioni legislative e</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regolamentari in materia edilizia” (S.O. n. 239 alla G.U. n 245 del 20-10- 2001)</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D.M. 17 gennaio 2018 “Norme tecniche per le Costruzioni” (S.0. n. 8 alla GU. n. 42 del 20 febbraio 2018) e norme o</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documenti esplicitamente richiamati dal Decreto Ministeriale;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UNI 7070/82 relativa ai prodotti laminati a caldo di acciaio non legato di base e di qualità;</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UNI 10011/88 relativa alle costruzioni in acciaio, recante istruzioni per il calcolo, l'esecuzione e la manutenzione;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CNE 10016 — 85 “Travi composte in acciaio e calcestruzzo — Istruzioni per l’impiego nelle costruzioni”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Art.33 Documentazione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materiali impiegati nella costruzione di strutture in acciaio dovranno essere “qualificati” ai sensi del D.M. 17 gennaio 2018; la marcatura dovrà risultare leggibile ed il produttore dovrà accompagnare la fornitura con l'attestato di controllo e la dichiarazione che il prodotto è qualificato.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dell'approvvigionamento dei materiali da impiegare l’Appaltatore dovrà presentare, alla Direzione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Lavori, gli elaborati costruttivi di officina delle strutture, nei quali, in conformità a quanto riportato negli elaborati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forniti dal Progettista, dovranno essere completamente definiti tutti i dettagli di lavorazione, ed in particolare: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tipi e qualità degli acciai impiegati;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tipi e qualità dei bulloni impiegati;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diametri e la disposizione dei chiodi e dei bulloni, nonché dei fori relativi;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coppie di serraggio dei bulloni ad alta resistenza;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classi di qualità delle saldature;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progetto, le tecnologie di esecuzione ed i controlli delle saldature;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schemi di montaggio e controfrecce di officina;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relazione di calcolo in cui devono essere indicate le modalità di montaggio dell'opera e specificato il</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funzionamento statico della struttura nelle diverse fasi di montaggio.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Sui disegni costruttivi di officina dovranno essere inoltre riportate le distinte dei materiali nelle quali sarà specificato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numero, qualità, tipo di lavorazione, grado di finitura, dimensioni e peso teorico di ciascun elemento costituente la struttura.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ciascun manufatto composto con laminati, L'Appaltatore dovrà redigere una distinta contenente i seguenti dati: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posizioni e marche d'officina costituenti il manufatto;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numeri di placca e di colata dei laminati costituenti ciascuna posizione e marca di officina;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estremi di identificazione dei relativi documenti di collaudo.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oneri suddetti sono a carico dell’Appaltatore.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quanto concerne il progetto, le tecnologie di esecuzione ed i controlli delle saldature, è fatto obbligo all’ Appaltatore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avvalersi, a sua cura e spese, della consulenza dell'Istituto Italiano della Saldatura o del RINA. (Registra Italiano Navale)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sede a Genova che dovrà redigere apposita relazione da allegare al progetto di officina.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facoltà della Direzione Lavori di sottoporre il progetto, le tecnologie di esecuzione ed i controlli delle saldature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consulenza di altro Ente di sua fiducia.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Lavori stabilirà il tipo e l'estensione dei controlli da eseguire sulle saldature, sia in corso d'opera che ad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opera finita, in conformità a quanto stabilito dal D.M. 17 gennaio 2018 e tenendo conto delle raccomandazioni fornite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dall'Ente di consulenza o dalle prescrizioni indicate nelle presenti Norme Tecniche.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Consulenza e controlli saranno eseguiti dagli Istituti indicati dalla Direzione Lavori; i relativi oneri saranno a carico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Dell’appaltatore.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dovrà, inoltre, far conoscere per iscritto, prima dell'approvvigionamento dei materiali da impiegare,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loro provenienza con riferimento alle distinte di cui sopra.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è tenuto ad accompagnare ogni fornitura con:</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copia dei certificati di collaudo degli acciai secondo EN 10204;</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dichiarazione che il prodotto è qualificato ai sensi del D.M. 17 gennaio 2018, e di aver soddisfatto tutte le relative</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prescrizioni, riportando gli estremi del marchio e indicando gli estremi dell’ultimo certificato del Laboratorio Ufficiale.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L'esame e la verifica, da parte della Direzione dei Lavori, dei progetti delle opere e dei certificati degli studi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preliminari, non esonerano in alcun modo L'Appaltatore dalle responsabilità derivanti per legge e per pattuizione di contratto.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Quindi resta stabilito che, malgrado i controlli eseguiti dalla Direzione dei Lavori L'Appaltatore rimane l’unico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diretto responsabile delle opere a termine di legge, pertanto sarà tenuto a rispondere degli inconvenienti di qualunque natura, importanza e conseguenza che avessero a verificarsi.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Art.34 Materiali impiegati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Profili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 profili da realizzare in carpenteria metallica sarà impiegato un acciaio legato con resistenza migliorata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corrosione atmosferica: S355 J2W - UNI EN 10025-5, (CorTen).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caratteristiche di resistenza dell'acciaio vengono di seguito elencate:</w:t>
      </w:r>
    </w:p>
    <w:p>
      <w:pPr>
        <w:pStyle w:val="PlainText"/>
        <w:rPr>
          <w:rFonts w:ascii="Calibri" w:hAnsi="Calibri" w:cs="Calibri" w:asciiTheme="minorHAnsi" w:cstheme="minorHAnsi" w:hAnsiTheme="minorHAnsi"/>
          <w:sz w:val="18"/>
          <w:szCs w:val="18"/>
        </w:rPr>
      </w:pPr>
      <w:r>
        <w:rPr/>
        <w:drawing>
          <wp:inline distT="0" distB="0" distL="0" distR="0">
            <wp:extent cx="5693410" cy="1381760"/>
            <wp:effectExtent l="0" t="0" r="0" b="0"/>
            <wp:docPr id="2" name="Immagin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
                    <pic:cNvPicPr>
                      <a:picLocks noChangeAspect="1" noChangeArrowheads="1"/>
                    </pic:cNvPicPr>
                  </pic:nvPicPr>
                  <pic:blipFill>
                    <a:blip r:embed="rId3"/>
                    <a:srcRect l="25010" t="55437" r="29563" b="24962"/>
                    <a:stretch>
                      <a:fillRect/>
                    </a:stretch>
                  </pic:blipFill>
                  <pic:spPr bwMode="auto">
                    <a:xfrm>
                      <a:off x="0" y="0"/>
                      <a:ext cx="5693410" cy="138176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 3- Caratteristiche di resistenza dell'acciaio 5355 JIW</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Verranno impiegati acciai di tipo autoprotettivo aventi resistenza migliorata alla corrosione atmosferica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meccaniche equivalenti per tutti gli elementi da saldare (lamiere per piattabande, anime, piastre,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irrigidimenti, ecc.) e caratteristiche chimiche in accordo a quanto previsto dalla Norma UNI-EN10155.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Saldature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saldature, oltre a prevedere tutti gli accorgimenti previsti dalla CNR 10011/85, dovranno essere realizzate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utilizzando materiali di apporto e processi di saldatura che assicurino una resistenza migliorata alla corrosione, secondo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quanto stabilito dalla UNI EN 10025 e EN 1011.</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Bulloni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unioni bullonate, oltre a prevedere tutti gli accorgimenti previsti dalla CNR 10011/85, dovranno essere realizzate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utilizzando bulloni con una resistenza migliorata alla corrosione che non inneschino processi corrosivi per l’acciaio S355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J2W, secondo quanto stabilito dalla UNI EN 10025.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giunzioni bullonate saranno effettuate in conformità alle prescrizioni del paragrafo 11.3.4 delle NTC.</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modalità di accettazione ed i controlli verranno effettuati in accordo alle prescrizioni del paragrafo 11.3.4 delle NTC.</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Tutte le giunzioni bullonate sono a taglio con bulloni di classe 10.9 ad alta resistenza.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Connettori a piolo dotati di testa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Pioli tipo “Nelson” [connettori a taglio] Φ3/4'’ conformi a quanto prescritto al paragrafo 11.3.4.7. delle NTC secondo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UNI EN ISO 13918 e EN ISO 10025 in acciaio S235 J2G3+C450 (ex ST 37-3K):</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pioli dovranno essere saldati in automatico alle piattabande in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L'acciaio dei connettori a piolo deve essere idoneo al processo di formazione dello stesso e compatibile per saldatura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il materiale costituente l'elemento strutturale interessato dai pioli stessi.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pioli dovranno essere saldati in automatico alle piattabande in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connettori a piolo dovranno avere una capacità deformativa a taglio superiore a 6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4675505" cy="698500"/>
            <wp:effectExtent l="0" t="0" r="0" b="0"/>
            <wp:docPr id="3" name="Immagine 3"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descr="Immagine che contiene testo&#10;&#10;Descrizione generata automaticamente"/>
                    <pic:cNvPicPr>
                      <a:picLocks noChangeAspect="1" noChangeArrowheads="1"/>
                    </pic:cNvPicPr>
                  </pic:nvPicPr>
                  <pic:blipFill>
                    <a:blip r:embed="rId4"/>
                    <a:srcRect l="6331" t="48381" r="61195" b="43020"/>
                    <a:stretch>
                      <a:fillRect/>
                    </a:stretch>
                  </pic:blipFill>
                  <pic:spPr bwMode="auto">
                    <a:xfrm>
                      <a:off x="0" y="0"/>
                      <a:ext cx="4675505" cy="69850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 4 - Caratteristiche di resistenza dell'acciaio 5235 J3G3</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APPARECCHI DI APPOGGIO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Art.35 Descrizione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progetto prevede l'utilizzo di apparecchi di appoggio in elastomero armato dotati superiormente ed inferiormente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ancoraggio di tipo meccanico.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Devono essere costituiti da un nucleo in elastromero con inserimento di tre o più lamierini in acciaio uniti alla gomma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mediante vulcanizzazione a caldo.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appoggi dovranno realizzare un vincolo intermedio tra il fisso ed il mobile, consentendo deformazioni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qualunque direzione nel piano orizzontale e generando reazioni elastiche di intensità proporzionale alle deformazioni stesse.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Art.36 Qualificazione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sede di qualifica l’Appaltatore sarà tenuto a presentare in tempo utile all'approvazione della Direzione dei Lavori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seguente documentazione per ogni diversa tipologia di apparecchio di appoggio: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Una relazione tecnica e di calcolo che illustri il comportamento meccanico dei singoli componenti dell'apparecchio 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l’aderenza ai requisiti prestazionali individuati nel progetto esecutivo;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di laboratorio effettuate dal Costruttore;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Documentazione di apparecchi analoghi installati dal costruttore negli ultimi 5 anni;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Sistema di qualità ISO9001 del Costruttore dei dispositivi valida per gli ultimi 5 anni;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caratteristiche tecniche;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modalità di posa in opera;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 piano di manutenzione e monitoraggio;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Gli elaborati di progetto del dispositivo.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progetto del dispositivo dovrà contenere: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indicazione delle escursioni e delle rotazioni previste per gli apparecchi nelle singole fasi di funzionamento.</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essere esposti separatamente i contributi dovuti alle azioni permanenti ed accidentali. alle variazioni termiche, alle deformazioni viscose (laddove non compensate con distorsioni di progetto), al ritiro del calcestruzzo e alla geometria curvilinea dell’impalcato;</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l'indicazione delle caratteristiche di mobilità richieste per gli apparecchi, in funzione dei dati di cui al punto a) e di un</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congro franco di sicurezza, che dovrà essere espressamente indicato;</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l'indicazione della tolleranza ammessa per l'orizzontalità ed il parallelismo dei piani di posa degli apparecchi;</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l'indicazione della preregolazione da effettuare sugli apparecchi al momento del montaggio, in funzione della temperatura ambiente e della stagionatura del calcestruzzo al momento della posa;</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verifica statica dei singoli elementi componenti l'apparecchio e la determinazione della pressione di contatto;</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l'indicazione dei materiali componenti l'apparecchio, con riferimento, ove possibile, alle norme UNI;</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l'indicazione delle modalità di collassamento dell'apparecchio al pulvino ed alla struttura d'impalcato e degli eventuali accorgimenti da adottare per il montaggio provvisorio;</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piano di monitoraggio e di manutenzione degli apparecchi installati;</w:t>
      </w:r>
    </w:p>
    <w:p>
      <w:pPr>
        <w:pStyle w:val="PlainText"/>
        <w:numPr>
          <w:ilvl w:val="0"/>
          <w:numId w:val="1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certificati delle prove e dei collaudi interni eseguiti dal Costruttore degli apparecchi di appoggio.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37 Materiali, marcatura e norme di accettazione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linea di massima le caratteristiche dei materiali dovranno essere le seguenti:</w:t>
      </w:r>
    </w:p>
    <w:p>
      <w:pPr>
        <w:pStyle w:val="PlainText"/>
        <w:numPr>
          <w:ilvl w:val="0"/>
          <w:numId w:val="18"/>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Acciaio laminato lamierini: Sarà della classe S275JR o superiore secondo le Nonme UNI EN 10025</w:t>
      </w:r>
    </w:p>
    <w:p>
      <w:pPr>
        <w:pStyle w:val="PlainText"/>
        <w:numPr>
          <w:ilvl w:val="0"/>
          <w:numId w:val="18"/>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Elastomeri: Elastomero alternato ad acciaio: sarà conforme alle norme C.N.R-UNI 10018.98</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Marcatura: deve essere prevista una marcatura CE (secondo quanto indicato al punto 11.6 delle NTC 18)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dimensionamento e la realizzazione secondo la UNI EN 1337-3</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38 Posa in opera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della posa in opera degli apparecchi d'appoggio l’Appaltatore dovrà provvedere per ogni singolo apparecchio 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tracciamento degli assi di riferimento ed alla livellazione dei piani di appoggio, i quali dovranno essere rettificati con malta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cemento additivata con resina epossidica.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Procederà, successivamente, al posizionamento dell'apparecchio ed al suo collegamento alle strutture secondo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prescrizioni di progetto. In questa fase ciascun apparecchio dovrà essere preregolato secondo le prescrizioni della DL.</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Verifica delle sedi predisposte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di iniziare le operazioni di posa in opera, l'Appaltatore dovrà verificare a sua cura e spese le sedi predisposte nelle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strutture sotto e soprastanti gli appoggi.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particolare, sarà verificata l'orizzontalità della sede, che dovrà essere ripristinata dall’Appaltatore se presenterà difetti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superiori alla tolleranza indicata nello 0,1%per ogni tipo di apparecchio.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ripristino sarà a carico dell’Appaltatore per difetti di orizzontalità fino allo 0,5%, oltre tale tolleranza per la sola parte eccedente lo 0,5% il ripristino sarà compensato con apposito prezzo.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ogni caso le irregolarità eventualmente rilevate dovranno essere segnalate dall’Appaltatore alla Direzione dei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iscritto e prima dell'inizio della posa in opera.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mancanza di tale comunicazione scritta, si intenderà che l’Appaltatore ha riscontrato la correttezza delle suddette predisposizioni.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Collegamento alla struttura e ripristino dell'orizzontalità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appoggi devono essere adeguatamente collegati alle strutture sotto e sovrastanti.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a carico dell'Appaltatore la realizzazione di tali collegamenti, con tutte le forniture, prestazioni ed oneri ad essa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inerenti. In funzione delle condizioni specifiche si potranno impiegare: iniezioni di resina, strati di conguaglio in resina 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malta di resina, in malta cementizia reoplastica (questi ultimi verranno impiegati per spessori superiori ai 5 cm) oppure, nel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caso di azioni orizzontali di natura dinamica o superiore al 35% del verticale concomitante, tirafondi metallici, annegati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preventivamente nelle strutture, o sigillati entro gli alloggiamenti appositamente precostituiti.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verifiche di posa in opera, saranno effettuate dall’ Appaltatore, in contraddittorio con la DL, per ogni lotto di appoggi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relativi ad una singola opera d’arte. I controlli riguarderanno, oltre a quanto riportato nel predetto punto: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verifica dell'esistenza del disegno di posa in opera;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verifica del posizionamento dell’apparecchio, in conformità al disegno di posa;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planarità delle superfici di appoggio, in modo che i piani di scorrimento degli appoggi siano orizzontali: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parallelismo dei piani di scorrimento, nel caso in cui sullo stesso asse di appoggio vi siano più apparecchi mobili: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verifica della pre-regolazione della corsa.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GIUNTI DI TENUTA E DILATAZIONE — SMALTIMENTO DELLE ACQUE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39 Giunti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giunti devono essere costituti da una struttura in elastomero nella quale mediante un processo di vulcanizzazione sono inseriti profili metallici.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seconda della luce degli elementi strutturali soggetti a dilatazione, verranno impiegati particolari dispositivi intesi ad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assicurare la protezione dei giunti all'uopo predisposti e tali da garantire la perfetta impermeabilità della struttura ed impedire il passaggio delle acque al di sotto della soletta. I giunti saranno attrezzati in maniera tale da impedire il libero scolo delle acque sulla sottostruttura, bensì il convogliamento delle acque lontano dalla struttura nelle sedi opportune.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sarà tenuto a fornire i dati tecnici occorrenti per determinare le caratteristiche del giunto in conformità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i requisiti prestazionali indicati in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L'Appaltatore dovrà tener conto, nei propri programmi di lavori, dei tempi necessari per le operazioni di fornitura 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montaggio degli apparecchi di giunto oltre che per tutte le predisposizioni sopraindicate.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La Direzione dei Lavori autorizzerà la posa in opera dei dispositivi solo dopo aver completato con esito positivo le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prove di accettazione.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L'esame e la verifica, da parte della Direzione dei Lavori, dei prospetti delle opere e dei certificati degli studi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preliminari, non esonerano in alcun modo l’Appaltatore dalle responsabilità derivanti per legge e per pattuizione di contratto.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Quindi resta stabilito che, malgrado i controlli eseguiti dalla Direzione dei Lavori, l’Appaltatore rimane l’unico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diretto responsabile delle opere a termine di legge, pertanto sarà tenuto a rispondere degli inconvenienti di qualunque natura, importanza e conseguenza che avessero a verificarsi.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40 Dispositivi per lo smaltimento delle acque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Tali dispositivi verranno eseguiti dall’ Appaltatore in conformità alle indicazioni di progetto esecutivo ed alle disposizioni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della Direzione Lavori.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dispositivi saranno attrezzati in maniera tale da impedire il libero scolo delle acque sulla sottostruttura, bensì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convogliamento delle acque lontano dalla struttura nelle sedi opportune.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VARO E MONTAGGIO DELLE TRAVI TAMPONE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Art.41 Generalità-piano di varo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Sarà cura dell’Appaltatore procedere alla redazione del piano operativo di cantiere per il sollevamento/varo (detto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anche piano di montaggio) delle strutture costituenti le travi tampone. Tale piano sarà coerente con le indicazioni fornite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merito dagli elaborati costituenti il progetto esecutivo e dovrà scrupolosamente attenersi a queste per quanto riguarda 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seguenti punti: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tempistica di attuazione delle operazioni;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geometriche. meccaniche e statiche degli elementi provvisionali quali, martinetti, carri varo, pile</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provvisorie, ecc.;</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delle attrezzature e dei mezzi d’opera da utilizzare;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raggiungimento delle resistenze dei cls indicate nel progetto esecutivo: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attuazione delle distorsioni indotte al fine di minimizzare i fenomeni di fluage in termini di forze e spostamenti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applicati alla struttura.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piano operativo di cantiere per il sollevamento/varo sarà accompagnato da un piano operativo di monitoraggio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topografico da effettuare sulla struttura e finalizzato al controllo topografico in corso di costruzione. Il piano di monitoraggio topografico sarà basato sulle deformazioni calcolate in sede di progettazione esecutiva e dovrà riportare: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geometria dell’impalcato nelle singole fasi costruttive in funzione delle deformazioni indotte dalle sollecitazioni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agenti e dalle variazioni volumetriche differite del cls;</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tolleranze ammissibili sui valori delle deformazioni di progetto in funzione delle caratteristiche dell’opera stessa;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metodi di controllo della temperatura sulle facce delle travi.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piano operativo di cantiere di sollevamento/varo ed il relativo piano di monitoraggio, ferma restando l'esclusiva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totale responsabilità dell’Appaltatore, dovranno essere preventivamente trasmessi al Coordinatore per l’Esecuzione ed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 con congruo anticipo sull'attività di montaggio. Dopo l’approvazione e prima della fase di montaggio.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l’Appaltatore dovrà dare comunicazione alla D.L. della data di inizio dei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Tutti i macchinari, le attrezzature e le procedure lavorative dovranno rispondere alle prescrizioni indicate dalla vigente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normativa in materia di prevenzione infortuni ed igiene del lavoro (D.Lgs 81/2008.)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particolare, poiché i cantieri in esame ricadono nell’ambito di applicazione del D.Lgs 81/2008 e successive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modifiche ed integrazioni, tutte le operazioni di realizzazione dell’infrastruttura dovranno essere eseguite in conformità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quanto indicato nel Piano di Sicurezza e Coordinamento e sotto la supervisione del Coordinatore per l’Esecuzione: quindi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anche i piani di montaggio e di monitoraggio dovranno essere parte del Piano di Sicurezza e Coordinamento.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Ogni variazione in difformità alle indicazioni progettuali sarà supportata da relazioni con conseguenti modifiche degli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elaborati progettuali. Gli elaborati così modificati saranno firmati dall’Appaltatore e sottoposti all'esame del Direttori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preventiva approvazione.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di carico prescritte dalle specifiche contrattuali, dai documenti di progetto ed eventualmente richieste dalla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 in base a motivate esigenze tecniche, così come quelle previste dalle leggi vigenti, saranno eseguite a cura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dell’Appaltatore.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 esecuzione dei lavori l’Appaltatore dovrà fornire la manodopera, le attrezzature, le opere provvisionali, 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ponteggi in quantità e tipologia adeguate sia alla esecuzione dei lavori che alla effettuazione di controlli ed ispezioni.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Sarà cura dell’ Appaltatore eseguire o far eseguire tutte le prove ed i controlli previsti, cosi come quelli aggiuntivi 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Lavori ritenesse necessari ad assicurare la rispondenza del lavoro eseguito alle specifiche ed agli standard qualitativi prefissati.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consentire la effettuazione delle prove in tempi congruenti con le esigenze di avanzamento dei lavori, l’Appaltatore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provvedere alla installazione in cantiere di uno o più laboratori attrezzati per la esecuzione delle prove previste.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laboratorio di cantiere dovrà avvalersi di personale qualificato e numericamente adeguato al quantitativo di prove da eseguire.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da eseguire ai sensi della legge 5 novembre 1971 N° 1086 dovranno essere effettuate presso laboratori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ufficiali autorizzati.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di lavori da eseguire in presenza d'acqua sarà cura dell’Appaltatore provvedere con i mezzi più adeguati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all'aggottamento ed al contenimento della stessa o. in alternativa. sarà sua cura adottare gli accorgimenti necessari. previa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informazione alla Direzione Lavori, per l'esecuzione dei lavori in presenza d'acqua.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materiali e i magisteri non espressamente richiamati nel presente articolo saranno conformi agli articoli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appositamente redatti e costituenti le presenti Norme Tecniche.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strutture, sia in calcestruzzo che in carpenteria metallica, prefabbricate in stabilimenti esterni, prima dell'inoltro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cantiere dovranno essere sottoposte alle prove di controllo qualità e, ove richiesto, alle prove di preassemblaggio.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L'esame e la verifica, da parte della Direzione dei Lavori, dei progetti delle opere e dei certificati degli studi, non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esonerano in alcun modo l’Appaltatore dalle responsabilità derivanti per legge e per pattuizione di contratto.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Quindi resta stabilito che. malgrado i controlli eseguiti dalla Direzione dei Lavori, l’Appaltatore rimane l’unico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diretto responsabile delle opere a termine di legge. pertanto sarà tenuto a rispondere degli inconvenienti di qualunque natura, importanza e conseguenza che avessero a verificarsi.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Art.42 Posa in opera e montaggio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strutture prefabbricate (predalles in calcestruzzo, travi o conci metallici) saranno varate nella loro posizione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definitiva mediante sollevamento longitudinale o trasversale a mezzo di carroponte, carrelli, gru, derrik, blondin, ecc. 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combinazioni varie di questi sistemi e mezzi.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L'eventuale impiego di elementi strutturali metallici o in conglomerato cementizio, semplice od armato, normale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precompresso, con funzione di cassaforma persa per il getto delle solette, sbalzi e traversi di impalcato, dovrà essere previsto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sede di progetto esecutivo. In assenza di indicazioni esaustive sarà cura dell’Appaltatore eseguire le opportune integrazioni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dandone evidenza alla Direzione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montaggio in opera di tutte le strutture costituenti ciascun manufatto sarà effettuato in conformità a quanto, a tale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riguardo, è previsto nella relazione di calcolo e nel piano di montaggio che, ferma restando la totale ed esclusiva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responsabilità dell’Appaltatore, con congruo anticipo sull'inizio dei montaggi, dovrà essere trasmesso alla Direzione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Durante il carico, il trasporto, lo scarico, il deposito e il montaggio, si dovrà porre la massima cura per evitare che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strutture vengano deformate o sovrasollecitate.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montaggio sarà eseguito in modo che la struttura raggiunga la configurazione geometrica di progetto. In particolare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dovrà controllare che la controfreccia ed il posizionamento sugli apparecchi di appoggio siano conformi alle indicazioni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piano di montaggio, rispettando le tolleranze previste.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stabilità delle strutture dovrà essere assicurata durante tutte le fasi costruttive e la rimozione dei collegamenti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provvisori e di altri dispositivi ausiliari dovrà essere fatta solo quando essi risulteranno staticamente superflui.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Nella progettazione e nell'impiego delle attrezzature di montaggio. l'Appaltatore è tenuto a rispettare le norme, le prescrizioni ed i vincoli che eventualmente venissero imposti da Enti, Uffici e persone responsabili riguardo alla zona interessata ed in particolare: </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l'ingombro degli alvei dei corsi d'acqua;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le sagome da lasciare libere nei sovrappassi e sottopassi di strade. autostrade, ferrovie, tramvie, ecc.;</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le interferenze con servizi di soprasuolo e di sottosuolo.</w:t>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IMPERMEABILIZZAZIONE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43 Generalità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strati impermeabilizzanti, oltre che possedere permeabilità all'acqua praticamente nulla, devono essere progettati ed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eseguiti in modo da avere: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elevata resistenza meccanica, specie alla perforazione in relazione sia al traffico di cantiere che alle lavorazioni che</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seguiranno alla stesa dello strato impermeabilizzante;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deformabilità, nel senso che il materiale dovrà seguire le deformazioni della struttura senza fessurarsi o distaccarsi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 supporto, mantenendo praticamente inalterate tutte le caratteristiche di impermeabilità e di resistenza meccanica;</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resistenza chimica alle sostanze che possono trovarsi in soluzione o sospensione nell'acqua di permeazione. In</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particolare dovrà tenersi conto della presenza in soluzione dei cloruri impiegati per uso antigelo;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durabilità, nel senso che il materiale impermeabilizzante dovrà conservare le sue proprietà per una durata non</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inferiore a quella della pavimentazione, tenuto conto dell'eventuale effetto di fatica per la ripetizione dei carichi;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compatibilità ed adesività sia nei riguardi dei materiali sottostanti sia di quelli sovrastanti (pavimentazione);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altre caratteristiche che si richiedono sono quelle della facilità di posa in opera nelle più svariate condizioni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climatiche e della possibilità di un'agevole riparazione locale.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su accennate caratteristiche dell'impermeabilizzazione devono conservarsi inalterate: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 le temperature di esercizio che possono verificarsi nelle zone in cui il manufatto ricade e sempre, comunque, tra le</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temperature di -10° e + 60° C;</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sotto l'azione degli sbalzi termici e sforzi meccanici che si possono verificare all'atto della stesa delle pavimentazioni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 di altri strati superiori.</w:t>
      </w:r>
    </w:p>
    <w:p>
      <w:pPr>
        <w:pStyle w:val="PlainText"/>
        <w:ind w:left="567"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Tutti i materiali per impermeabilizzazioni dovranno rispondere ai requisiti prescritti dalle rispettive Norme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accettazione.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Strutture sovrastanti strati impermeabili dovranno essere eseguite dopo il perfetto consolidamento degli strati stessi.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L'esecuzione delle impermeabilizzazioni di qualsiasi genere dovrà essere eseguita con la massima accuratezza,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specialmente in prossimità di fori, passaggi, canne, ecc.; il convogliamento di acque meteoriche ai pluviali sarà assicurato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mediante idonei pezzi speciali fissati a livello della soletta in calcestruzzo mediante l’impiego di stucchi epossidici al manto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impermeabile e muniti di griglia parafoglie. L'impermeabilizzazione dovrà interessare anche le zone dei bocchettoni di scarico delle acque superficiali, ricoprendoli nell’area dei risvolti.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Eventuali perdite che si manifestassero, sino a collaudo eseguito, dovranno essere sanate ed eliminate dall’ Appaltatore,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suo totale carico, compreso ogni lavoro di ripristino delle eventuali sovrastrutture, pendenze per un regolare sgrondo delle acque e presentarsi sane, regolari, perfettamente pulite, esenti da olii, grassi, polveri e prive di residui di boiacca o di malta cementizia, asciutte e stagionate almeno 20 giomi, per assicurare una buona adesione del manto impermeabilizzante. La pulizia sarà ottenuta mediante lavaggio con getti d’acqua in pressione per l’adeguato asporto delle parti incoerenti seguito da una energica soffiatura con aria compressa.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posa in opera di tutte le impermeabilizzazioni dovrà essere preceduta dalla preparazione della superficie, affinché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supporto sia libero da detriti ed altre irregolarità che possano arrecare danni per punzonamento al manto impermeabile,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comprenderà:</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eliminazione di eventuali asperità, dislivelli, grumi ed imperfezioni in genere mediante bocciardatura, spinta anche a</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fondo;</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stuccatura di eventuali lesioni o vespai;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pulizia mediante lavaggio con acqua in pressione (almeno 50bar).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prevedersi prove e controlli di qualità e possibili prove di efficienza.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44 Descrizione e caratteristiche fisico-meccaniche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L’impermeabilizzazione deve essere eseguita con prodotto elastomerico poliuretanico bicomponente privo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solventi, plastificanti, materiali bituminosi, con quantità di iso-cianato pari al 39% del peso del residuo secco. L'allungamento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rottura del prodotto, eseguito a 30°C, dovrà essere almeno del 180% ed il prodotto non dovrà subire rammollimenti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temperature fino a 180°C.</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rivestimento dovrà essere continuo e perfettamente impermeabile all'acqua, ma permeabile ai gas ed ai vapori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acquei. Lo spessore finito non dovrà essere in alcun punto inferiore a 3 mm Il prodotto dovrà essere resistente ai sali antigelo,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agli idrocarburi, alcali diluiti, all'idrolisi ed ai microrganismi. Le superfici da trattare dovranno risultare pulite e prive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materiali incoerenti ed estranei.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superficie in calcestruzzo da trattare dovrà risultare priva di prodotti disarmanti, come residui di boiacca,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eventuali residui di impermeabilizzazione preesistente ed altro. A questo fine la superficie dovrà essere sabbiata e/o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bocciardata, come pure quando siano stati eseguiti precedenti interventi di ripristino con l’impiego di betoncini o calcestmzzi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reoplastici a ritiro compensato. A questi interventi preparatori dovrà seguire una accurata pulizia delle superfici interessate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anche mediante idrolavaggi (preferibilmente in periodi caldi o asciutti) e conseguente energica soffiatura con aria compressa.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PRIMER DI ADESIONE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primer di adesione dovrà essere costituito da base epossidica ed induritore poliaminoalifatico con solventi, per un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residuo secco non inferiore al 60% in peso.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MEMBRANA IMPERMEABILIZZANTE SINTETICA ELASTICA CONTINUA SPRUZZATA IN OPERA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membrana impermeabilizzante elastica continua dovrà essere costituita da un copolimero epossipoliuretanico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presenza attiva di un terzo polimero elastomerico. Il prodotto deve polimerizzare entro le 24 h dal termine della stesa alle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condizioni di temperatura T ≥ 293 K ed UR 65% ± 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materiale applicato dovrà, a polimerizzazione avvenuta, avere le seguenti caratteristiche chimico- fisiche:</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Densità relativa (riferita al prodotto A+B polimerizzato): 1,15 + 0,05 kg/dm</w:t>
      </w:r>
      <w:r>
        <w:rPr>
          <w:rFonts w:cs="Calibri" w:ascii="Calibri" w:hAnsi="Calibri" w:asciiTheme="minorHAnsi" w:cstheme="minorHAnsi" w:hAnsiTheme="minorHAnsi"/>
          <w:sz w:val="18"/>
          <w:szCs w:val="18"/>
          <w:vertAlign w:val="superscript"/>
        </w:rPr>
        <w:t>2</w:t>
      </w:r>
      <w:r>
        <w:rPr>
          <w:rFonts w:cs="Calibri" w:ascii="Calibri" w:hAnsi="Calibri" w:asciiTheme="minorHAnsi" w:cstheme="minorHAnsi" w:hAnsiTheme="minorHAnsi"/>
          <w:sz w:val="18"/>
          <w:szCs w:val="18"/>
        </w:rPr>
        <w:t xml:space="preserve"> (UNI 89-1970)..</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Resistenza a sollecitazione per trazione: minimo 6 Mpa (UNI 8202 par. 8°).</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Allungamento percentuale a trazione: minimo 80% (UNI 8202 par. 8°).</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Elasticità: massimo 15% (verificata come deformazione residua a trazione) (UNI 8202 par. 10°).</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Resistenza alle basse temperature: integrità per avvolgimento su mandrino cilindrico fino a T= 253 K (UNI 8202 par.</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15°).</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Adesione al supporto cementizio: minimo 3 Mpa e per valori inferiori purché risulti una rottura coesiva del supporto</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(riferito alla superficie di prova) almeno pari al 60% della superficie (ASTM 2197-68).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45 Modalità di applicazione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provvederà al fine di garantire una perfetta adesione tra membrana e supporto alla stesa del “primer” applicato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mediante spruzzo “airless” e con adeguata apparecchiatura, in quantità comprese tra 0,20 e 0,25 Kg/m</w:t>
      </w:r>
      <w:r>
        <w:rPr>
          <w:rFonts w:cs="Calibri" w:ascii="Calibri" w:hAnsi="Calibri" w:asciiTheme="minorHAnsi" w:cstheme="minorHAnsi" w:hAnsiTheme="minorHAnsi"/>
          <w:sz w:val="18"/>
          <w:szCs w:val="18"/>
          <w:vertAlign w:val="superscript"/>
        </w:rPr>
        <w:t>2</w:t>
      </w:r>
      <w:r>
        <w:rPr>
          <w:rFonts w:cs="Calibri" w:ascii="Calibri" w:hAnsi="Calibri" w:asciiTheme="minorHAnsi" w:cstheme="minorHAnsi" w:hAnsiTheme="minorHAnsi"/>
          <w:sz w:val="18"/>
          <w:szCs w:val="18"/>
        </w:rPr>
        <w:t>.</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stesa si dovrà estendere a tutta la superficie interna dei cordoli ed anche sulla superficie orizzontale degli stessi,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essi non siano già stati protetti con guaine bituminose per effettuare il montaggio dei parapetti New Jersey prima dell’impermeabilizzazione dell’impalcato.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Sulla superficie così pretrattata si dovrà procedere all'applicazione della membrana epossipoliuretanica elastomerica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mediante idonee apparecchiature automontate ed automatiche che garantiscano, oltre che potenzialità di lavoro adeguata,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controllo dei quantitativi di stesa.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realizzazione della membrana dovrà essere fatta mediante l'applicazione di un quantitativo di prodotto medio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2,9+3,1 kg/m</w:t>
      </w:r>
      <w:r>
        <w:rPr>
          <w:rFonts w:cs="Calibri" w:ascii="Calibri" w:hAnsi="Calibri" w:asciiTheme="minorHAnsi" w:cstheme="minorHAnsi" w:hAnsiTheme="minorHAnsi"/>
          <w:sz w:val="18"/>
          <w:szCs w:val="18"/>
          <w:vertAlign w:val="superscript"/>
        </w:rPr>
        <w:t>2</w:t>
      </w:r>
      <w:r>
        <w:rPr>
          <w:rFonts w:cs="Calibri" w:ascii="Calibri" w:hAnsi="Calibri" w:asciiTheme="minorHAnsi" w:cstheme="minorHAnsi" w:hAnsiTheme="minorHAnsi"/>
          <w:sz w:val="18"/>
          <w:szCs w:val="18"/>
        </w:rPr>
        <w:t xml:space="preserve"> (spessore secco 3 mm) tale da garantire una elevata protezione all’azione delle acque meteoriche e degli agenti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aggressivi in soluzione (sali fondenti antigelo). La sua adesione al primer non dovrà essere inferiore a quella di quest’ultimo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alla soletta.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posa in opera dell'intero ciclo impermeabilizzante non verrà effettuata quando, a giudizio della Direzione Lavori,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condizioni metereologiche saranno tali da non garantire la perfetta riuscita del lavoro e comunque quando la temperatura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esterna sia inferiore a 10°C.</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prima di 12h dal termine della stesa della membrana impermeabile, nel caso di temperature  &gt;20°C, dovrà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seguire l’accurata ed uniforme applicazione della mano di attacco e di collegamento alla pavimentazione nella quantità di 0,8 kg/m</w:t>
      </w:r>
      <w:r>
        <w:rPr>
          <w:rFonts w:cs="Calibri" w:ascii="Calibri" w:hAnsi="Calibri" w:asciiTheme="minorHAnsi" w:cstheme="minorHAnsi" w:hAnsiTheme="minorHAnsi"/>
          <w:sz w:val="18"/>
          <w:szCs w:val="18"/>
          <w:vertAlign w:val="superscript"/>
        </w:rPr>
        <w:t>2</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Detto materiale dovrà essere spruzzato anche sulla parte verticale interna dei cordoli che sarà coperta dalla pavimentazione.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manto dovrà essere transitabile, senza distacchi e perforazioni, dal normale traffico di cantiere (escluso quello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cingolato) e dovrà risultare impermeabile, dopo la stesa su di esso dei conglomerati bituminosi, sotto una pressione di 1 Mpa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permeametro, a 333 K per 5 h, anche nelle zone di giunto.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PAVIMENTAZIONI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46 Generalità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pavimentazione sarà in generale costituita da un doppio strato di conglomerato bituminoso steso a caldo,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precisamente: da uno strato inferiore di collegamento (binder) e da uno strato superiore di usura, secondo quanto stabilito dalla Direzione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conglomerato per ambedue gli strati sarà costituito da una miscela di pietrischetti, graniglie, sabbie ed additivi,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secondo le definizioni riportate nell' Art. 1 delle norme C.N.R,, fascicolo n. 4/1953 - (“Norme per l'accettazione dei pietrischi.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dei pietrischetti, delle graniglie, delle sabbie e degli additivi per costruzioni stradali”), mescolati con bitume a caldo, e verrà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steso in opera mediante macchina vibrofinitrice e compattato con rulli sommati e lisci.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Inerti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prelievo dei campioni di materiali inerti, per il controllo dei requisiti di accettazione appresso indicati, verrà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effettuato secondo le norme C.N.R., Capitolo II del fascicolo 4/1953 - (“Norme per l'accettazione dei pietrischi, dei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pietrischetti, delle graniglie, delle sabbie e degli additivi per costruzioni stradali”).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il prelevamento dei campioni destinati alle prove di controllo dei requisiti di accettazione, cosi come per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modalità di esecuzione delle prove stesse, valgono le prescrizioni contenute nel fascicolo n. 4 delle Norme CNR 1953 -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(“Norme per l'accettazione dei pietrischi, dei pietrischetti. delle graniglie, delle sabbie e degli additivi per costruzioni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stradali”), con l'avvertenza che la prova per la determinazione della perdita in peso sarà fatta col metodo Los Angeles secondo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Norme C.N.R B.U n. 34 (del 28-3-1973) anziché col metodo DEVAL.</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L'aggregato grosso (pietrischetti e graniglie) dovrà essere ottenuto per frantumazione ed essere costituito da elementi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sani, duri, durevoli, approssimativamente poliedrici, con spigoli vivi, a superficie ruvida, puliti ed esenti da polvere o da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materiali estranei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L'aggregato grosso sarà costituito da pietrischetti e graniglie che potranno anche essere di provenienza o natura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petrografica diversa, purché alle prove appresso elencate, eseguite su campioni rispondenti alla miscela che si intende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formare, risponda ai seguenti requisiti:</w:t>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strati di collegamento (Binder):</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perdita in peso alla prova Los Angeles eseguita sulle singole pezzature secondo le norme ASTM C 13i – AASHO T</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96, inferiore al 25% (C.N.R 34-1973);</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indice dei vuoti delle singole pezzature, secondo C.N.R fascicolo 4/1953 - (“Norme per l'accettazione dei pietrischi,</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dei pietrischetti, delle graniglie, delle sabbie e degli additivi per costruzioni stradali”), inf. a 0,80:</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coefficiente di imbibizione, secondo C.N.R.. fascicolo 4/1953 - (“Norme per l'accettazione dei pietrischi. dei</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pietrischetti, delle graniglie. delle sabbie e degli additivi per costruzioni stradali”) inferiore a 0,015 (C.N.R. 137-1992);</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materiale non idrofilo, secondo C.N.R., fascicolo 4/1953 - (Norme per l'accettazione dei pietrischi, dei pietrischetti,</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graniglie, delle sabbie e degli additivi per costruzioni stradali”).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che si preveda di assoggettare al traffico lo strato di collegamento in periodi umidi od invernali, la perdita in</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peso per scuotimento sarà limitata allo 0,5%.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numPr>
          <w:ilvl w:val="0"/>
          <w:numId w:val="1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strati di usura:</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perdita in peso alla prova Los Angeles eseguita sulle singole pezzature secondo le norme ASTM C 131 – AASHO T</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96, inferiore od uguale al 20% (C.N.R 34 -1973);</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almeno un 30% in peso del materiale dell'intera miscela deve provenire da frantumazione di rocce che presentino un coefficiente di frantumazione minore di 100 e resistenza a compressione, secondo tutte le giaciture, non inferiore a 140 N/mm</w:t>
      </w:r>
      <w:r>
        <w:rPr>
          <w:rFonts w:cs="Calibri" w:ascii="Calibri" w:hAnsi="Calibri" w:asciiTheme="minorHAnsi" w:cstheme="minorHAnsi" w:hAnsiTheme="minorHAnsi"/>
          <w:sz w:val="18"/>
          <w:szCs w:val="18"/>
          <w:vertAlign w:val="superscript"/>
        </w:rPr>
        <w:t>2</w:t>
      </w:r>
      <w:r>
        <w:rPr>
          <w:rFonts w:cs="Calibri" w:ascii="Calibri" w:hAnsi="Calibri" w:asciiTheme="minorHAnsi" w:cstheme="minorHAnsi" w:hAnsiTheme="minorHAnsi"/>
          <w:sz w:val="18"/>
          <w:szCs w:val="18"/>
        </w:rPr>
        <w:t xml:space="preserve"> nonché resistenza alla usura minima 0,6;</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indice dei vuoti delle singole pezzature, secondo C.N.R., fascicolo n. 4/1953 - (“Norme per l’accettazione dei</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pietrischi. dei pietrischetti, delle graniglie, delle sabbie e degli additivi per costruzioni stradali”), inf. a 0,85:</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coefficiente di imbibizione, secondo C.N.R., fascicolo 4/1953 - (“Norme per l'accettazione dei pietrischi. dei</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pietrischetti, delle graniglie, delle sabbie e degli additivi per costruzioni stradali”), inferiore a 0,015 (C.N.R 137-1992),</w:t>
      </w:r>
    </w:p>
    <w:p>
      <w:pPr>
        <w:pStyle w:val="PlainText"/>
        <w:numPr>
          <w:ilvl w:val="0"/>
          <w:numId w:val="1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materiale non idrofilo, secondo C.N.R fascicolo 4/1953 - (“Norme per l'accettazione dei pietrischi, dei pietrischetti</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graniglie, delle sabbie e degli additivi per costruzioni stradali”), con limitazione per la perdita in peso allo 0,5%.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47 Materiali costituenti e loro qualificazione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Legante: deve essere costituito da bitume semisolido di primo impiego.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bitumi sono composti organici costituiti sostanzialmente da miscele di idrocarburi, completamente solubili in solfuro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carbonio e dotati di capacità legante.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seconda della temperatura media della zona di impiego il bitume deve essere del tipo 50/70 oppure 80/100 con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indicate nella Tabella 1. con preferenza per il 50/70 per le temperature più elevate e per lo strato di base.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3872865" cy="1577975"/>
            <wp:effectExtent l="0" t="0" r="0" b="0"/>
            <wp:docPr id="4" name="Immagin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
                    <pic:cNvPicPr>
                      <a:picLocks noChangeAspect="1" noChangeArrowheads="1"/>
                    </pic:cNvPicPr>
                  </pic:nvPicPr>
                  <pic:blipFill>
                    <a:blip r:embed="rId5"/>
                    <a:srcRect l="30626" t="39934" r="32449" b="33326"/>
                    <a:stretch>
                      <a:fillRect/>
                    </a:stretch>
                  </pic:blipFill>
                  <pic:spPr bwMode="auto">
                    <a:xfrm>
                      <a:off x="0" y="0"/>
                      <a:ext cx="3872865" cy="1577975"/>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Tabella 1</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Ai fini dell'accettazione, prima dell'inizio dei lavori, l'Impresa è tenuta a predisporre la qualificazione del prodotto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tramite certificazione attestante i requisiti indicati. Tale certificazione sarà rilasciata dal produttore o da un Laboratorio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riconosciuto dal Ministero delle Infrastrutture e dei Trasporti.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Additivi: sono prodotti naturali o artificiali che, aggiunti agli aggregati o al bitume, consentono di migliorare le prestazioni dei conglomerati bituminosi.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attivanti d'adesione sono sostanze tensioattive che favoriscono l’adesione bitume — aggregato, sono additivi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utilizzati per migliorare la durabilità all'acqua delle miscele bituminose.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loro dosaggio, da specificare obbligatoriamente nello studio della miscela, potrà variare a seconda delle condizioni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impiego, della natura degli aggregati e delle caratteristiche del prodotto.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scelta del tipo e del dosaggio di additivo dovrà essere stabilita in modo da garantire le caratteristiche di resistenza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allo spogliamento e di durabilità all’azione dell’acqua riportate nelle tabelle 3,7, 8. In ogni caso, l’attivante di adesione scelto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deve presentare caratteristiche chimiche stabili nel tempo anche se sottoposto a temperatura elevata (180 °C) per lunghi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periodi (15 giorni).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L'immissione delle sostanze tensioattive nel bitume deve essere realizzata con attrezzature idonee, tali da garantire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l'esatto dosaggio e la loro perfetta dispersione nel legante bituminoso.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presenza ed il dosaggio degli attivanti d’adesione nel bitume vengono verificati mediante la prova di separazione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cromatografica su strato sottile.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attivanti chimici funzionali (ACF) sono impiegati per rigenerare le caratteristiche del bitume invecchiato contenuto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conglomerato bituminoso da riciclare devono avere le caratteristiche chimico-fisiche riportate nella Tabella 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dosaggio varia in funzione della percentuale di conglomerato riciclato e delle caratteristiche del bitume in esso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contenuto.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determinare la quantità di ACF da impiegare si deve preventivamente calcolare la percentuale teorica del bitume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nuovo da aggiungere con la seguente espressione: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Pn = Pt - (Pv x Pi)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Pn= percentuale di legante nuovo da aggiungere riferita al totale degli inerti: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Pt= percentuale totale di bitume nella miscela di inerti nuovi e conglomerato di riciclo;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Pv= percentuale di bitume vecchio (preesistente) riferita al totale degli inerti;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 frazione di conglomerato riciclato rispetto al totale della miscela.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valore di Pt viene determinato con l’espressione: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Pt = 0,035 a + 0,045 b + cd + f</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Pt = % di bitume in peso riferita alla miscela totale, espressa come numero intero;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 % di aggregato trattenuto al setaccio UNI 2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 = % di aggregato passante al setaccio UNI 2 mm e trattenuto al setaccio 0,075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 = % di aggregato passante al setaccio 0,075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 = 0,15 per un passante al N. 200 compreso tra 11 e 15;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 = 0,18 per un passante al N. 200 compreso tra 6 e 10;</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 = 0,20 per un passante al N. 200 ≤ 6;</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 parametro compreso normalmente fra 0,3 e 0.8, variabile in funzione dell’assorbimento degli inerti.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procede quindi a costruire in un diagramma viscosità (a 60 °C) percentuale di rigenerante (rispetto al legante muovo)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una curva di viscosità con almeno tre punti misurati: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K = viscosità della miscela bitume estratto (metodo ASTM D5404-97) più bitume aggiunto nelle proporzioni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determinate con le formule precedenti, senza rigenerante.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 = viscosità della miscela bitume estratto più bitume aggiunto in cui una parte del bitume nuovo è sostituita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dall'agente rigenerante nella misura del 10% in peso rispetto al bitume aggiunto.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 = viscosità della miscela simile alla precedente in cui una parte del bitume nuovo è sostituita dall'agente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rigenerante nella misura del 20% in peso rispetto al bitume aggiunto.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questo diagramma mediante interpolazione lineare è possibile dedurre, alla viscosità di 2000 Pa s, la percentuale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rigenerante necessaria.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L'immissione degli ACF nel bitume deve essere realizzata con attrezzature idonee, tali da garantire l'esatto dosaggio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loro perfetta dispersione nel legante bituminoso.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presenza degli ACF nel bitume viene accertata mediante la prova di separazione cromatografica su strato sottile.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4370070" cy="1069340"/>
            <wp:effectExtent l="0" t="0" r="0" b="0"/>
            <wp:docPr id="5" name="Immagine 5"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descr="Immagine che contiene tavolo&#10;&#10;Descrizione generata automaticamente"/>
                    <pic:cNvPicPr>
                      <a:picLocks noChangeAspect="1" noChangeArrowheads="1"/>
                    </pic:cNvPicPr>
                  </pic:nvPicPr>
                  <pic:blipFill>
                    <a:blip r:embed="rId6"/>
                    <a:srcRect l="30333" t="23020" r="33031" b="61057"/>
                    <a:stretch>
                      <a:fillRect/>
                    </a:stretch>
                  </pic:blipFill>
                  <pic:spPr bwMode="auto">
                    <a:xfrm>
                      <a:off x="0" y="0"/>
                      <a:ext cx="4370070" cy="106934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Tabella 2</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Aggregati: sono previsti aggregati lapidei di primo, essi costituiscono la fase solida dei conglomerati bituminosi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caldo tradizionali. Gli aggregati di primo impiego risultano composti dall’insieme degli aggregati grossi (trattenuti al crivello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UNI n. 5), degli aggregati fini e del filler che può essere proveniente dalla frazione fina o di additivazione.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L’aggregato grosso deve essere costituito da elementi ottenuti dalla frantumazione di rocce lapidee, da elementi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naturali tondeggianti, da elementi naturali tondeggianti frantumati, da elementi naturali a spigoli vivi. Tali elementi potranno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di provenienza o natura petrografica diversa purché, per ogni tipologia, risultino soddisfatti i requisiti indicati nella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4354830" cy="1932305"/>
            <wp:effectExtent l="0" t="0" r="0" b="0"/>
            <wp:docPr id="6" name="Immagine 6"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Immagine che contiene tavolo&#10;&#10;Descrizione generata automaticamente"/>
                    <pic:cNvPicPr>
                      <a:picLocks noChangeAspect="1" noChangeArrowheads="1"/>
                    </pic:cNvPicPr>
                  </pic:nvPicPr>
                  <pic:blipFill>
                    <a:blip r:embed="rId7"/>
                    <a:srcRect l="30604" t="55703" r="32945" b="15549"/>
                    <a:stretch>
                      <a:fillRect/>
                    </a:stretch>
                  </pic:blipFill>
                  <pic:spPr bwMode="auto">
                    <a:xfrm>
                      <a:off x="0" y="0"/>
                      <a:ext cx="4354830" cy="1932305"/>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Tabella 3</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Nello strato di usura la miscela finale degli aggregati deve contenere una frazione grossa di natura basaltica o porfirica, con CLA ≥</w:t>
      </w:r>
      <w:r>
        <w:rPr>
          <w:rFonts w:cs="Calibri" w:ascii="Calibri" w:hAnsi="Calibri" w:asciiTheme="minorHAnsi" w:cstheme="minorHAnsi" w:hAnsiTheme="minorHAnsi"/>
          <w:sz w:val="18"/>
          <w:szCs w:val="18"/>
          <w:vertAlign w:val="superscript"/>
        </w:rPr>
        <w:t xml:space="preserve"> </w:t>
      </w:r>
      <w:r>
        <w:rPr>
          <w:rFonts w:cs="Calibri" w:ascii="Calibri" w:hAnsi="Calibri" w:asciiTheme="minorHAnsi" w:cstheme="minorHAnsi" w:hAnsiTheme="minorHAnsi"/>
          <w:sz w:val="18"/>
          <w:szCs w:val="18"/>
        </w:rPr>
        <w:t>43, pari almeno al 30% del totale.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alternativa all'uso del basalto o del porfido si possono utilizzare inerti porosi naturali (vulcanici) od artificiali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(argilla espansa “resistente” o materiali similari. scorie d’altoforno, loppe, ecc.) ad elevata rugosità superficiale (CLA ≥ 50)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pezzatura 5/15 mm, in percentuali in peso comprese tra il 20% ed il 30% del totale, ad eccezione dell'argilla espansa che deve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di pezzatura 5/10 mm, con percentuale di impiego in volume compresa tra il 25% ed il 35% degli inerti che compongono la miscela.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L'aggregato fino deve essere costituito da elementi naturali e di frantumazione.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seconda del tipo di strada, gli aggregati fini per conglomerati bituminosi a caldo tradizionali devono possedere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riassunte nella Tabella 4.</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4660265" cy="336550"/>
            <wp:effectExtent l="0" t="0" r="0" b="0"/>
            <wp:docPr id="7" name="Immagine 7"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avolo&#10;&#10;Descrizione generata automaticamente"/>
                    <pic:cNvPicPr>
                      <a:picLocks noChangeAspect="1" noChangeArrowheads="1"/>
                    </pic:cNvPicPr>
                  </pic:nvPicPr>
                  <pic:blipFill>
                    <a:blip r:embed="rId8"/>
                    <a:srcRect l="31278" t="23542" r="32846" b="71878"/>
                    <a:stretch>
                      <a:fillRect/>
                    </a:stretch>
                  </pic:blipFill>
                  <pic:spPr bwMode="auto">
                    <a:xfrm>
                      <a:off x="0" y="0"/>
                      <a:ext cx="4660265" cy="33655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drawing>
          <wp:inline distT="0" distB="0" distL="0" distR="0">
            <wp:extent cx="4660265" cy="763270"/>
            <wp:effectExtent l="0" t="0" r="0" b="0"/>
            <wp:docPr id="8" name="Immagine 8"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descr="Immagine che contiene tavolo&#10;&#10;Descrizione generata automaticamente"/>
                    <pic:cNvPicPr>
                      <a:picLocks noChangeAspect="1" noChangeArrowheads="1"/>
                    </pic:cNvPicPr>
                  </pic:nvPicPr>
                  <pic:blipFill>
                    <a:blip r:embed="rId9"/>
                    <a:srcRect l="30992" t="70439" r="33913" b="19363"/>
                    <a:stretch>
                      <a:fillRect/>
                    </a:stretch>
                  </pic:blipFill>
                  <pic:spPr bwMode="auto">
                    <a:xfrm>
                      <a:off x="0" y="0"/>
                      <a:ext cx="4660265" cy="76327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Tabella 4</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aggregati fini utilizzati negli strati di usura il trattenuto al setaccio 2 mm non deve superare il 10 % qualora gli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stessi provengano da rocce aventi un valore di CLA ≤ 42.</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filler, frazione passante al setaccio 0,075 mm, proviene dalla frazione fina degli aggregati oppure può essere costituito da polvere di roccia, preferibilmente calcarea, da cemento, calce idrata, calce idraulica, polvere di asfalto, ceneri volanti. In ogni caso il filler per conglomerati bituminosi a caldo tradizionali deve soddisfare i requisiti indicati Tabella 5.</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Ai fini dell’accettazione, prima dell’inizio dei lavori, l’Impresa è tenuta a predisporre la qualificazione degli aggregati tramite certificazione attestante i requisiti prescritti. Tale certificazione deve essere rilasciata da un Laboratorio riconosciuto dal Ministero delle Infrastrutture e dei Trasporti.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Conglomerato riciclato: Per conglomerato riciclato deve intendersi il conglomerato bituminoso preesistente proveniente dalla frantumazione in frantoio di lastre o blocchi di conglomerato demolito con sistemi tradizionali, oppure dalla fresatura in sito eseguita con idonee macchine (preferibilmente a freddo).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Le percentuali in peso di materiale riciclato riferite al totale della miscela degli inerti, devono essere comprese nei limiti di seguito specificati: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conglomerato per strato di base : ≤ 30%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conglomerato per strato di collegamento : ≤ 25%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conglomerato per tappeto di usura : ≤ 20%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Per la base può essere utilizzato conglomerato riciclato di qualsiasi provenienza; per il binder materiale proveniente da vecchi strati di collegamento ed usura, per il tappeto materiale provenienti solo da questo strato. La percentuale di conglomerato riciclato da impiegare va obbligatoriamente dichiarata nello studio preliminare della miscela che l’Impresa è tenuta a presentare alla Direzione Lavori prima dell’inizio dei lavori.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Miscele: La miscela degli aggregati di primo impiego e del conglomerato da riciclare, da adottarsi per i diversi strati, deve avere una composizione granulometrica contenuta nei fusi riportati in Tabella 6. La percentuale di legante totale (compreso il bitume presente nel conglomerato da riciclare), riferita al peso degli aggregati, deve essere compresa nei limiti indicati nella stessa Tabella 6.</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4195445" cy="1526540"/>
            <wp:effectExtent l="0" t="0" r="0" b="0"/>
            <wp:docPr id="9" name="Immagine 9"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descr="Immagine che contiene tavolo&#10;&#10;Descrizione generata automaticamente"/>
                    <pic:cNvPicPr>
                      <a:picLocks noChangeAspect="1" noChangeArrowheads="1"/>
                    </pic:cNvPicPr>
                  </pic:nvPicPr>
                  <pic:blipFill>
                    <a:blip r:embed="rId10"/>
                    <a:srcRect l="30163" t="30341" r="34254" b="46660"/>
                    <a:stretch>
                      <a:fillRect/>
                    </a:stretch>
                  </pic:blipFill>
                  <pic:spPr bwMode="auto">
                    <a:xfrm>
                      <a:off x="0" y="0"/>
                      <a:ext cx="4195445" cy="152654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Tabella 6</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Peri tappeti di usura il fuso A è da impiegare per spessori superiori a 4 cm, il fuso B per spessori di 3-4 cm, il fuso C</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spessori inferiori a 3 cm.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quantità di bitume nuovo di effettivo impiego deve essere determinata mediante lo studio della miscela con metodo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volumetrico. In via transitoria si potrà utilizzare, in alternativa, il metodo Marshall.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caratteristiche richieste per lo strato di base, il binder ed il tappeto di usura sono riportate nelle Tabella 7 e 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r>
        <w:rPr/>
        <w:drawing>
          <wp:inline distT="0" distB="0" distL="0" distR="0">
            <wp:extent cx="4104640" cy="1250950"/>
            <wp:effectExtent l="0" t="0" r="0" b="0"/>
            <wp:docPr id="10" name="Immagine 10"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descr="Immagine che contiene tavolo&#10;&#10;Descrizione generata automaticamente"/>
                    <pic:cNvPicPr>
                      <a:picLocks noChangeAspect="1" noChangeArrowheads="1"/>
                    </pic:cNvPicPr>
                  </pic:nvPicPr>
                  <pic:blipFill>
                    <a:blip r:embed="rId11"/>
                    <a:srcRect l="30750" t="67241" r="34254" b="13816"/>
                    <a:stretch>
                      <a:fillRect/>
                    </a:stretch>
                  </pic:blipFill>
                  <pic:spPr bwMode="auto">
                    <a:xfrm>
                      <a:off x="0" y="0"/>
                      <a:ext cx="4104640" cy="1250950"/>
                    </a:xfrm>
                    <a:prstGeom prst="rect">
                      <a:avLst/>
                    </a:prstGeom>
                  </pic:spPr>
                </pic:pic>
              </a:graphicData>
            </a:graphic>
          </wp:inline>
        </w:drawing>
      </w:r>
      <w:r>
        <w:rPr/>
        <w:drawing>
          <wp:inline distT="0" distB="0" distL="0" distR="0">
            <wp:extent cx="4077970" cy="573405"/>
            <wp:effectExtent l="0" t="0" r="0" b="0"/>
            <wp:docPr id="11" name="Immagin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
                    <pic:cNvPicPr>
                      <a:picLocks noChangeAspect="1" noChangeArrowheads="1"/>
                    </pic:cNvPicPr>
                  </pic:nvPicPr>
                  <pic:blipFill>
                    <a:blip r:embed="rId12"/>
                    <a:srcRect l="31045" t="46810" r="34406" b="44581"/>
                    <a:stretch>
                      <a:fillRect/>
                    </a:stretch>
                  </pic:blipFill>
                  <pic:spPr bwMode="auto">
                    <a:xfrm>
                      <a:off x="0" y="0"/>
                      <a:ext cx="4077970" cy="573405"/>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Tabella 7</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Sulla miscela definita con la pressa giratoria (provini confezionati al 98% della D</w:t>
      </w:r>
      <w:r>
        <w:rPr>
          <w:rFonts w:cs="Calibri" w:ascii="Calibri" w:hAnsi="Calibri" w:asciiTheme="minorHAnsi" w:cstheme="minorHAnsi" w:hAnsiTheme="minorHAnsi"/>
          <w:sz w:val="18"/>
          <w:szCs w:val="18"/>
          <w:vertAlign w:val="subscript"/>
        </w:rPr>
        <w:t>G</w:t>
      </w:r>
      <w:r>
        <w:rPr>
          <w:rFonts w:cs="Calibri" w:ascii="Calibri" w:hAnsi="Calibri" w:asciiTheme="minorHAnsi" w:cstheme="minorHAnsi" w:hAnsiTheme="minorHAnsi"/>
          <w:sz w:val="18"/>
          <w:szCs w:val="18"/>
        </w:rPr>
        <w:t xml:space="preserve"> ) deve essere sperimentalmente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determinato un opportuno parametro di rigidezza (modulo complesso, modulo elastico, ecc.) che deve soddisfare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prescrizioni per esso indicate nel progetto della pavimentazione ed ha la funzione di costituire il riferimento per i controlli alla stesa.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4129405" cy="1405890"/>
            <wp:effectExtent l="0" t="0" r="0" b="0"/>
            <wp:docPr id="12" name="Immagin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descr=""/>
                    <pic:cNvPicPr>
                      <a:picLocks noChangeAspect="1" noChangeArrowheads="1"/>
                    </pic:cNvPicPr>
                  </pic:nvPicPr>
                  <pic:blipFill>
                    <a:blip r:embed="rId13"/>
                    <a:srcRect l="31045" t="66709" r="34406" b="12395"/>
                    <a:stretch>
                      <a:fillRect/>
                    </a:stretch>
                  </pic:blipFill>
                  <pic:spPr bwMode="auto">
                    <a:xfrm>
                      <a:off x="0" y="0"/>
                      <a:ext cx="4129405" cy="140589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Tabella 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Art.48 Accettazione delle miscele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è tenuta a presentare alla Direzione Lavori, con congruo anticipo rispetto all’inizio delle lavorazioni e per ciascun cantiere di produzione, la composizione delle miscele che intende adottare; ciascuna composizione proposta deve essere corredata da una completa documentazione degli studi effettuati. Una volta accettato da parte della Direzione Lavori lo studio della miscela proposto, l’Impresa deve attenervisi rigorosamente. Nella curva granulometrica sono ammessi scostamenti delle singole percentuali dell’aggregato grosso di ± 5 per lo strato di base e di ± 3 per gli strati di binder ed usura; sono ammessi scostamenti dell’aggregato fino (passante al crivello UNI n. 5) contenuti in ± 2; scostamenti del passante al setaccio UNI 0,075 mm contenuti in ± 1,5. Per la percentuale di bitume è tollerato uno scostamento di ± 0,25.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Tali valori devono essere soddisfatti dall’esame delle miscele prelevate alla stesa, come pure dall’esame delle carote prelevate in sito, tenuto conto per queste ultime della quantità teorica del bitume di ancoraggio.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Art.49 Confezionamento delle miscele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conglomerato deve essere confezionato mediante impianti fissi automatizzati, di idonee caratteristiche, mantenuti sempre perfettamente funzionanti in ogni loro parte. La produzione di ciascun impianto non deve essere spinta oltre la sua potenzialità, per garantire il perfetto essiccamento, l’uniforme riscaldamento della miscela ed una perfetta vagliatura che assicuri una idonea riclassificazione delle singole classi degli aggregati. Possono essere impiegati anche impianti continui (tipo drum-mixer) purché il dosaggio dei componenti la miscela sia eseguito a peso, mediante idonee apparecchiature la cui efficienza deve essere costantemente controllata. L’impianto deve comunque garantire uniformità di produzione ed essere in grado di realizzare le miscele rispondenti a quelle indicate nello studio presentato ai fini dell’accettazione. Ogni impianto deve assicurare il riscaldamento del bitume alla temperatura richiesta ed a viscosità uniforme fino al momento della miscelazione oltre al perfetto dosaggio sia del bitume che dell’additivo. Nel caso di eventuale impiego di conglomerato riciclato l’impianto deve essere attrezzato per il riscaldamento separato del materiale riciclato, ad una temperatura compresa tra 90°C e 110°C. La zona destinata allo stoccaggio degli inerti deve essere preventivamente e convenientemente sistemata per annullare la presenza di sostanze argillose e ristagni di acqua che possono compromettere la pulizia degli aggregati. Inoltre i cumuli delle diverse classi devono essere nettamente separati tra di loro e l’operazione di rifornimento nei predosatori eseguita con la massima cura. Lo stoccaggio del conglomerato bituminoso riciclato deve essere al coperto. L’umidità del conglomerato riciclato prima del riscaldamento deve essere comunque inferiore al 4%, Nel caso di valori superiori l’impiego del riciclato deve essere sospeso. Il tempo di miscelazione deve essere stabilito in funzione delle caratteristiche dell’impianto, in misura tale da permettere un completo ed uniforme rivestimento degli inerti con il legante. L’umidità degli aggregati all’uscita dell’essiccatore non deve superare lo 0,25% in peso. La temperatura degli aggregati all’atto della miscelazione deve essere compresa tra 160°C e 180° C e quella del legante tra 150° C e 170° C, in rapporto al tipo di bitume impiegato. Per la verifica delle suddette temperature gli essiccatori, le caldaie e le tramogge degli impianti devono essere muniti di termometri fissi perfettamente funzionanti e periodicamente tarati.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Art.50 Posa in opera delle miscele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La posa in opera dei conglomerati bituminosi verrà effettuata a mezzo di macchine vibrofinitrici in perfetto stato di efficienza e dotate di automatismi di autolivellamento.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Le vibrofinitrici devono comunque lasciare uno strato finito perfettamente sagomato, privo di sgranamenti, fessurazioni ed esente da difetti dovuti a segregazione degli elementi litoidi più grossi. Nella stesa si deve porre la massima cura alla formazione dei giunti longitudinali preferibilmente ottenuti mediante tempestivo affiancamento di una strisciata alla precedente. Qualora ciò non sia possibile il bordo della striscia già realizzata deve essere spalmato con emulsione bituminosa cationica per assicurare la saldatura della striscia successiva. Se il bordo risulterà danneggiato o arrotondato si deve procedere al taglio verticale con idonea attrezzatura. I giunti trasversali derivanti dalle interruzioni giornaliere devono essere realizzati sempre previo taglio ed asportazione della parte terminale di azzeramento. La sovrapposizione dei giunti longitudinali tra i vari strati deve essere programmata e realizzata in maniera che essi risultino fra di loro sfalsati di almeno 20 cm e non cadano mai in corrispondenza delle due fasce della corsia di marcia normalmente interessata dalle ruote dei veicoli pesanti. Il trasporto del conglomerato dall’impianto di confezione al cantiere di stesa deve avvenire mediante mezzi di trasporto di adeguata portata, efficienti e veloci e comunque sempre dotati di telone di copertura per evitare i raffreddamenti superficiali eccessivi e formazione di crostoni. La temperatura del conglomerato bituminoso all’atto della stesa controllata immediatamente dietro la finitrice deve risultare in ogni momento non inferiore a 140° C.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stesa dei conglomerati deve essere sospesa quando le condizioni meteorologiche generali possono pregiudicare la perfetta riuscita del lavoro. Gli strati eventualmente compromessi devono essere immediatamente rimossi e successivamente ricostruiti a spese dell’Impresa. La compattazione dei conglomerati deve iniziare appena stesi dalla vibrofinitrice e condotta a termine senza interruzioni.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L’addensamento deve essere realizzato preferibilmente con rulli gommati. Per gli strati di base e di binder possono essere utilizzati anche rulli con ruote metalliche vibranti e/o combinati, di idoneo peso e caratteristiche tecnologiche avanzate in modo da assicurare il raggiungimento delle massime densità ottenibili. Per lo strato di usura può essere utilizzato un rullo tandem a ruote metalliche del peso massimo di 15t. Si avrà cura inoltre che la compattazione sia condotta con la metodologia più adeguata per ottenere uniforme addensamento in ogni punto ed evitare fessurazioni e scorrimenti nello strato appena steso. La superficie degli strati deve presentarsi, dopo la compattazione, priva di irregolarità ed ondulazioni. Un’asta rettilinea lunga 4 m posta in qualunque direzione sulla superficie finita di ciascuno strato deve aderirvi uniformemente; può essere tollerato uno scostamento massimo di 5 mm. La miscela bituminosa dello strato di base verrà stesa dopo che sia stata accertata dalla Direzione Lavori la rispondenza della fondazione ai requisiti di quota, sagoma, densità e portanza indicati in progetto. Prima della stesa del conglomerato bituminoso su strati di fondazione in misto cementato deve essere rimossa, per garantirne l’ancoraggio, la sabbia eventualmente non trattenuta dall’emulsione stesa precedentemente a protezione del misto cementato stesso. Nel caso di stesa in doppio strato essi devono essere sovrapposti nel più breve tempo possibile. Qualora la seconda stesa non sia realizzata entro le 24 ore successive tra i due strati deve essere interposta una mano di attacco di emulsione bituminosa in ragione di 0,3 Kg/m</w:t>
      </w:r>
      <w:r>
        <w:rPr>
          <w:rFonts w:cs="Calibri" w:ascii="Calibri" w:hAnsi="Calibri" w:asciiTheme="minorHAnsi" w:cstheme="minorHAnsi" w:hAnsiTheme="minorHAnsi"/>
          <w:sz w:val="18"/>
          <w:szCs w:val="18"/>
          <w:vertAlign w:val="superscript"/>
        </w:rPr>
        <w:t>2</w:t>
      </w:r>
      <w:r>
        <w:rPr>
          <w:rFonts w:cs="Calibri" w:ascii="Calibri" w:hAnsi="Calibri" w:asciiTheme="minorHAnsi" w:cstheme="minorHAnsi" w:hAnsiTheme="minorHAnsi"/>
          <w:sz w:val="18"/>
          <w:szCs w:val="18"/>
        </w:rPr>
        <w:t xml:space="preserve"> di bitume residuo. La miscela bituminosa del binder e del tappeto di usura verrà stesa sul piano finito dello strato sottostante dopo che sia stata accertata dalla Direzione Lavori la rispondenza di quest’ultimo ai requisiti di quota, sagoma, densità e portanza indicati in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51 Controlli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controlli di seguito indicati si riferiscono a strade del tipo extraurbane e urbane di scorrimento a medio/elevato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traffico pesante, cui può essere assimilato il tipo infrastruttura di riferimento.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controllo della qualità dei conglomerati bituminosi e della loro posa in opera deve essere effettuato mediante prove di laboratorio sui materiali costituenti, sulla miscela e sulle carote estratte dalla pavimentazione.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Ogni prelievo deve essere costituito da due campioni; un campione viene utilizzato per i controlli presso un Laboratorio riconosciuto dal Ministero delle Infrastrutture e dei Trasporti, l’altro resta a disposizione per eventuali accertamenti e/o verifiche tecniche successive.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Sui materiali costituenti devono essere verificate le caratteristiche di accettabilità.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Sulla miscela vengono determinate: la percentuale di bitume, la granulometria degli aggregati, la quantità di attivante d’adesione e vengono inoltre controllate le caratteristiche di idoneità mediante la Pressa Giratoria.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 provini confezionati mediante l’apparecchiatura Pressa Giratoria devono essere sottoposti a prova di rottura diametrale a 25 °C (Brasiliana). In mancanza della Pressa Giratoria vengono effettuate prove Marshall: peso di volume (DM), stabilità e rigidezza (CNR 40/73); percentuale dei vuoti residui (CNR 39/73); perdita di Stabilità dopo 15 giorni di immersione in acqua (CNR n. 121/87); resistenza alla trazione indiretta (Prova Brasiliana – CNR 134/91).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Per lo strato di usura e per quello di collegamento, la Direzione Lavori controlla la deformabilità viscoplastica con prove a carico costante (CNR 106/85). Il parametro J1 a 10 °C deve essere compreso tra 25 e 40 cm²/(daN*s) mentre lo Jp a 40 °C deve essere compreso tra 14 x 106 e 26 x 106 cm²/(daN*s).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Dopo la stesa la Direzione Lavori preleverà delle carote per il controllo delle caratteristiche del conglomerato e la verifica degli spessori. Sulle carote vengono determinati il peso di volume, la percentuale dei vuoti residui ed il modulo complesso E (Norma prEN 12697-26). Qualora l’altezza ridotta delle carote non consenta l’esecuzione di quest’ultima prova, il modulo complesso verrà determinato su provini confezionati in laboratorio con la corrispondente miscela prelevata in corso d’opera, costipata fino al raggiungimento della densità in situ.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Per valori del modulo complesso E inferiori a quelli di progetto, con una tolleranza del 10%, verrà applicata una detrazione dello 0,4% del prezzo di elenco per ogni punto percentuale di carenza, oltre la tolleranza, del modulo dinamico a compressione. Lo spessore dello strato verrà determinato, per ogni tratto omogeneo di stesa, facendo la media delle misure (quattro per ogni carota) rilevate dalle carote estratte dalla pavimentazione, scartando i valori con spessore in eccesso, rispetto a quello di progetto, di oltre il 5%. Per spessori medi inferiori a quelli di progetto verrà applicata, per tutto il tratto omogeneo, una detrazione del 2,5% del prezzo di elenco per ogni mm di materiale mancante. Carenze superiori al 20% dello spessore di progetto comporteranno la rimozione dello strato e la successiva ricostruzione a spese dell’Impresa.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valori dei vuoti, determinati sulle carote, superiori a quelli previsti (ottenuti dalla miscela di progetto proposta dall’Impresa) verrà applicata una detrazione del 2,5% del prezzo di elenco per ogni 0,5% di vuoti in più, fino al valore massimo accettabile (per i vuoti in opera) del 12%. Valori dei vuoti superiori al 12% comporteranno la rimozione dello strato e la successiva ricostruzione a spese dell’Impresa. Per il tappeto di usura l’aderenza (resistenza di attrito radente) misurata con lo Skid Tester secondo la norma CNR 105/85 deve fornire valori di BPN (British Pendulum Number) uguali o maggiori di 60; l’altezza di sabbia (HS), determinata secondo la metodologia CNR 94/83, deve essere superiore o uguale a 0,4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il valore medio di BPN o HS, per ciascuna tratta, sia inferiore ai valori prescritti, il tappeto di usura viene penalizzato del 15% del suo costo. Nei casi in cui il valore medio di BPN o di HS sia inferiore o uguale rispettivamente a 40 e 0,25 mm si deve procedere all’asportazione completa con fresa dello strato e alla stesa di un nuovo tappeto. In alternativa si può procedere all’effettuazione di trattamenti di irruvidimento per portare il valore deficitario al disopra della soglia di accettabilità. Se comunque al termine di tali operazioni, pur avendo superato il limite di accettabilità, non si raggiungessero i valori prescritti verrà applicata la detrazione del 20% del prezzo. Le detrazioni determinate per i diversi parametri di controllo saranno cumulate.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RIPRISTINO E CONSOLIDAMENTO DI ELEMENTI STRUTTURALI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Art.52 Generalità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In generale lo scopo del ripristino dei conglomerati cementizi è ricreare la sagoma di progetto del manufatto in corrispondenza dei punti degradati e/o adeguarla ad eventuali nuove esigenze.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ripristino di tali strutture degradate o l'adeguamento degli elementi in conglomerato cementizio dovrà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garantire comunque, sia la monoliticità tra il vecchio calcestruzzo ed il materiale con cui viene eseguito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ripristino, sia la resistenza agli agenti aggressivi dell'ambiente d'esercizio.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53 Materiali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 materiali per il ripristino/adeguamento sono suddivisi nelle seguenti categorie: </w:t>
      </w:r>
    </w:p>
    <w:p>
      <w:pPr>
        <w:pStyle w:val="PlainText"/>
        <w:numPr>
          <w:ilvl w:val="1"/>
          <w:numId w:val="20"/>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materiali cementizi a ritiro compensato1 nei tipi A, B, C, D, G, H, I ed J; </w:t>
      </w:r>
    </w:p>
    <w:p>
      <w:pPr>
        <w:pStyle w:val="PlainText"/>
        <w:numPr>
          <w:ilvl w:val="1"/>
          <w:numId w:val="20"/>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cementizie polimero modificate nei tipi E1 ed E2; </w:t>
      </w:r>
    </w:p>
    <w:p>
      <w:pPr>
        <w:pStyle w:val="PlainText"/>
        <w:numPr>
          <w:ilvl w:val="1"/>
          <w:numId w:val="20"/>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di resina nei tipi F1, F2 ed F3;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 vari tipi di materiale, per i cui requisiti e specifiche prestazionali complete si rimanda ai punti successivi, sono così definiti: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cementizie, premiscelate, tissotropiche (spruzzabili), a ritiro compensato, fibrorinforzate con fibre in lega metallica a base cromo, amorfe, flessibili ed inossidabili2 , con rapporto di aspetto l/d pari a 125, aventi lunghezza pari a 30 mm, caratterizzate da resistenza a trazione &gt; 1.900 MPa, presenti nella malta in quantità &gt; 0,9 % in peso sulla malta secca, od a comportamento prestazionale equivalente. Tali malte contengono anche fibre sintetiche3 poliacriliche.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cementizie, premiscelate, tissotropiche (spruzzabili), a ritiro compensato con ritentore di umidità4 , contenenti fibre sintetiche poliacriliche.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cementizie, premiscelate, reoplastiche5 , colabili, a ritiro compensato, fibrorinforzate con fibre rigide in acciaio a basso tenore di carbonio, con rapporto di aspetto 1/d pari a 50, aventi lunghezza pari a 30 mm, di forma tipo a "greca", aventi resistenza a trazione &gt; 1.200 MPa, presenti nella malta in quantità &gt; 7,5 % in peso sulla malta secca.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cementizie, premiscelate, reoplastiche, colabili, a ritiro compensato, contenenti fibre sintetiche poliacriliche.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cementizie polimero modificate, premiscelate, tissotropiche, contenenti fibre sintetiche poliacriliche: </w:t>
      </w:r>
    </w:p>
    <w:p>
      <w:pPr>
        <w:pStyle w:val="PlainText"/>
        <w:numPr>
          <w:ilvl w:val="0"/>
          <w:numId w:val="22"/>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tipo E1: a basso modulo elastico (&lt; 16.000 MPa): </w:t>
      </w:r>
    </w:p>
    <w:p>
      <w:pPr>
        <w:pStyle w:val="PlainText"/>
        <w:numPr>
          <w:ilvl w:val="0"/>
          <w:numId w:val="22"/>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tipo E2: a modulo elastico normale (tra 20.000 e 23.000 MPa)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Malte di resina premiscelate: malte tissotropiche F1, malte colabili F2 e boiacche a bassissima viscosità F3. (Le malte F1 sono adatte per l'incollaggio al calcestruzzo di elementi metallici o di profilati sintetici e per l'incollaggio di elementi in calcestruzzo; le malte F2 per inghisaggi di barre d'armatura; le malte F3 sono adatte alla saldatura per iniezione di fessure).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Betoncini cementizi, reoplastici, colabili, a ritiro compensato, fibrorinforzati con fibre rigide in acciaio a basso tenore di carbonio; ottenuti aggiungendo alla malta di cui al precedente punto C) aggregati selezionati (nella misura del 35% sul peso totale della miscela secca malta più aggregato), non gelivi, non soggetti a reazione alcali aggregato, lavati, di idonea curva granulometrica, di diametro minimo pari a 5 mm, di diametro massimo in funzione dello spessore del getto e comunque non superiore a 12 mm.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Betoncini cementizi premiscelati, reoplastici, colabili, a ritiro compensato, contenenti fibre sintetiche poliacriliche. </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Calcestruzzi di cemento reoplastici a ritiro compensato, ottenuti utilizzando come legante uno speciale cemento espansivo in luogo dei normali cementi e miscelando ad esso acqua ed aggregati; aventi Rck &gt; 50 MPa, basso rapporto a/c, consistenza 54-55, assenza di bleeding, elevata pompabilità.</w:t>
      </w:r>
    </w:p>
    <w:p>
      <w:pPr>
        <w:pStyle w:val="PlainText"/>
        <w:numPr>
          <w:ilvl w:val="0"/>
          <w:numId w:val="21"/>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Boiacche a ritiro compensato, ad elevata fluidità, prive di bleeding ottenute utilizzando uno speciale legante cementizio espansivo (vengono adoperate per l'intasamento di guaine di precompressione degradate).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54 Trattamenti prima del ripristino/adeguamento e fasi esecutive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GENERALITA’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generale la tecnica di intervento per il ripristino/adeguamento delle strutture può essere sintetizzata nelle seguenti fasi:</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Asportazione del calcestruzzo degradato; </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Pulizia delle armature eventualmente scoperte; </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Posizionamento delle eventuali armature aggiuntive; </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Posizionamento dell’eventuale rete elettrosaldata di contrasto; </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Pulizia e saturazione della superficie di supporto; </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Applicazione del materiale di ripristino; </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Frattazzatura, </w:t>
      </w:r>
    </w:p>
    <w:p>
      <w:pPr>
        <w:pStyle w:val="PlainText"/>
        <w:numPr>
          <w:ilvl w:val="1"/>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Stagionatura.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fasi esecutive in funzione del tipo di materiale utilizzato sono indicate nella tabella seguente e descritte nei punti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successivi.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Fasi esecutive in funzione del tipo di materiale di ripristino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4312285" cy="4399280"/>
            <wp:effectExtent l="0" t="0" r="0" b="0"/>
            <wp:docPr id="13" name="Immagin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descr=""/>
                    <pic:cNvPicPr>
                      <a:picLocks noChangeAspect="1" noChangeArrowheads="1"/>
                    </pic:cNvPicPr>
                  </pic:nvPicPr>
                  <pic:blipFill>
                    <a:blip r:embed="rId14"/>
                    <a:srcRect l="30451" t="13865" r="32646" b="19185"/>
                    <a:stretch>
                      <a:fillRect/>
                    </a:stretch>
                  </pic:blipFill>
                  <pic:spPr bwMode="auto">
                    <a:xfrm>
                      <a:off x="0" y="0"/>
                      <a:ext cx="4312285" cy="4399280"/>
                    </a:xfrm>
                    <a:prstGeom prst="rect">
                      <a:avLst/>
                    </a:prstGeom>
                  </pic:spPr>
                </pic:pic>
              </a:graphicData>
            </a:graphic>
          </wp:inline>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ASPORTAZIONE DEL CALCESTRUZZO DEGRADATO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Per i materiali cementizi a ritiro compensato l'asportazione del calcestruzzo incoerente o degradato avverrà mediante idrodemolizione o scalpellatura meccanica eseguita mediante demolitori leggeri alimentati ad aria compressa, adottando tutte le precauzioni necessarie ad evitare il danneggiamento delle strutture superstiti.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d’idrodemolizione dovranno avere pressione del getto d'acqua di 120-150 MPa e portata compresa tra 100 e 300 l/min.</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Tali macchine dovranno essere sottoposte alla preventiva approvazione della Direzione Lavori ed essere corredate di sistemi di preregolazione con comando a distanza e di sistemi sicurezza e protezione, che consentano il corretto funzionamento anche in presenza di traffico, nonché il controllo delle acque di scarico, la qualità delle quali dovrà essere conforme ai limiti della tabella “A” della legge 319/76.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La superficie del calcestruzzo di supporto dovrà risultare macroscopicamente ruvida (asperità di circa 5 mm di profondità) allo scopo di ottenere la massima aderenza tra il nuovo ed il vecchio materiale.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macro ruvidità è indispensabile affinché si realizzi il meccanismo dell'espansione contrastata1 che è alla base del funzionamento dei materiali a ritiro compensato (tipo A-B-C-D-G-H-I). Per le malte cementizie polimero modificate (E) e per le malte di resina (F) la preparazione del supporto sarà effettuata mediante sabbiatura o idrosabbiatura tenuto conto dello spessore di calcestruzzo da asportare, non essendo necessaria la macrorugosità del supporto in quanto l'aderenza tra vecchio e nuovo è garantita mediante l'azione collante della resina e non mediante il meccanismo dell'espansione contrastata.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TRATTAMENTO FERRI D'ARMATURA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ferri di armatura del cemento armato messi a nudo in fase di esportazione del conglomerato cementizio ammalorato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essere portati a metallo quasi bianco mediante sabbiatura.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i conglomerati a ritiro compensato venissero applicati in assenza di contrasto (ruvidità del supporto, confinamento,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armatura per gli spessori &gt; 20 mm), sarebbero destinati inevitabilmente a perdere aderenza con il supporto durante l'espansione iniziale e ad avere fessure da ritiro igrometrico.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Quando il ripristino viene realizzato con malte o betoncini a ritiro compensato generalmente non è opportuno l'impiego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sull'armatura di prodotti inibitori di corrosione, salvo diverse motivate prescrizioni di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POSIZIONAMENTO DI ARMATURE AGGIUNTIVE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sia necessario aggiungere delle armature, queste verranno poste in opera prima della pulizia della superficie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supporto e del posizionamento dell'eventuale rete elettrosaldata di contrasto.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essere garantito un copriferro di almeno 20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POSIZIONAMENTO DELLA RETE ELETTROSALDATA DI CONTRASTO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interventi di spessore superiore a 20 mm quando si utilizzano le malte cementizie a ritiro compensato tipo Be D ed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betoncino tipo H, la rete elettro-saldata avente funzione di contrastare l'iniziale espansione, di norma formata da barre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diametro 4 mm e maglie di 50 mm, dovrà essere ancorata al supporto.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Quando si utilizzano invece materiali cementizi fibrorinforzati tipo A, C e G non verrà applicata in quanto il contrasto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stesso verrà esercitato dalle fibre metalliche.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Lo spessore minimo di intervento, in presenza di rete elettrosaldata, non potrà essere inferiore a 35-40 mm; infatti la rete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avere un copriferro di almeno 20 mm e dovrà essere distaccata dal supporto di almeno 10 mm mediante l'uso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distanziatori.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sia previsto nel progetto l'utilizzo di rete elettrosaldata in bare di acciaio inossidabile, questa dovrà avere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precisate dalle Norme Tecniche contenute nella legge 1086 (DM. in vigore).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L'acciaio sarà del tipo AISI 316 nel caso di elementi strutturali per i quali l'esposizione agli agenti aggressivi è massima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del tipo AISI 3014 per gli elementi meno esposti.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malte cementizie polimero modificate per la loro natura non richiedono mai armature di contrasto.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PREPARAZIONE DELLE SUPERFICIDA RIPRISTINARE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Per avere la certezza che il supporto sia pulito al momento dell'applicazione è consigliabile effettuare la pulizia immediatamente prima dell'applicazione del materiale, dopo che tutte le altre operazioni di preparazione siano state ultimate.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dovranno pertanto asportare con i mezzi più opportuni le polveri e le parti incoerenti in fase di distacco eventualmente ancora presenti dopo la scarifica meccanica del calcestruzzo, l'ossido eventualmente presente sui ferri di armatura, le impurità, le tracce di grassi, oli e sali aggressivi, ottenendo così una superficie composta da un conglomerato cementizio sano, pulito e compatto.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r>
        <w:rPr>
          <w:rFonts w:cs="Calibri" w:ascii="Calibri" w:hAnsi="Calibri" w:asciiTheme="minorHAnsi" w:cstheme="minorHAnsi" w:hAnsiTheme="minorHAnsi"/>
          <w:sz w:val="18"/>
          <w:szCs w:val="18"/>
        </w:rPr>
        <w:t>Per l'applicazione di materiali cementizi a ritiro compensato, è consigliabile effettuare la pulizia della superficie di supporto mediante lavaggio con acqua in pressione (80-100 MPa e acqua calda nel periodo invernale). L'operazione di pulizia con acqua in pressione, se eseguita immediatamente prima dell'applicazione del materiale, consente anche la saturazione del calcestruzzo, comunque necessaria per una corretta applicazione dei materiali a ritiro compensato (A, B, C, D, G, H, I). Per l'applicazione di malte cementizie polimero modificate e di malte di resina epossidica, la pulizia della superficie di supporto potrà essere effettuata mediante getto di aria compressa o di acqua in pressione nel solo caso di malte che devono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miscelate con acqua.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vietata inoltre la saturazione del supporto prima dell'applicazione delle malte polimero modificate bicomponenti 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richiedono miscelazione con acqua e delle malte di resina.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MESSA INOPERA DELLE MISCELE DI RIPRISTINO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Uso di malte e betoncini premiscelati a ritiro compensato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Le miscele reoplastiche a ritiro compensato sono fornite già premiscelate a secco; dovranno essere impastate in idonei miscelatori con il minimo quantitativo d'acqua7 indicato dalla casa produttrice; saranno mescolate fino ad ottenere un impasto ben amalgamato e privo di grumi per almeno 4 o 5 minuti, aggiungendo eventualmente altra acqua qualora l'impasto non si presentasse di consistenza plastica e comunque senza superare mai i quantitativi massimi di acqua indicati dalla stessa casa produttrice, per evitare fenomeni di bleeding e di separazione, oltre alla diminuzione di tutte le prestazioni; nel caso di malte tipo B si aggiungerà il ritentore di umidità. </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Non è consentita la miscelazione a mano poiché questa generalmente comporta un eccesso d'acqua nell'impasto. Per miscelare piccoli quantitativi dovrà essere impiegato un normale trapano con mescolatore a frusta. Nel caso di malte e betoncini fibrorinforzati, le fibre saranno preconfezionate in pacchetti legati con colle idrosolubili o con altri sistemi che permettono la loro omogenea distribuzione nell'impasto. La temperatura ottimale di impiego delle malte reoplastiche è di circa 293 K; sono tuttavia accettabili temperature comprese tra 283 e 308 K. Al di fuori di tale intervallo, l'applicazione del prodotto potrà avvenire solo su autorizzazione della Direzione Lavori. </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Nel caso in cui la temperatura dell'ambiente sia molto bassa (278÷283 K), lo sviluppo delle resistenze meccaniche è più lento. Qualora si richieda ugualmente una elevata resistenza meccanica alle brevi stagionature, si devono adottare i seguenti provvedimenti: </w:t>
      </w:r>
    </w:p>
    <w:p>
      <w:pPr>
        <w:pStyle w:val="PlainText"/>
        <w:numPr>
          <w:ilvl w:val="0"/>
          <w:numId w:val="24"/>
        </w:numPr>
        <w:ind w:left="993"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conservare il prodotto in ambiente riparato dal freddo; </w:t>
      </w:r>
    </w:p>
    <w:p>
      <w:pPr>
        <w:pStyle w:val="PlainText"/>
        <w:numPr>
          <w:ilvl w:val="0"/>
          <w:numId w:val="24"/>
        </w:numPr>
        <w:ind w:left="993"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impiegare acqua calda (308÷323 K) per l'impasto; </w:t>
      </w:r>
    </w:p>
    <w:p>
      <w:pPr>
        <w:pStyle w:val="PlainText"/>
        <w:numPr>
          <w:ilvl w:val="0"/>
          <w:numId w:val="24"/>
        </w:numPr>
        <w:ind w:left="993"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iniziare i getti nella mattinata; </w:t>
      </w:r>
    </w:p>
    <w:p>
      <w:pPr>
        <w:pStyle w:val="PlainText"/>
        <w:numPr>
          <w:ilvl w:val="0"/>
          <w:numId w:val="24"/>
        </w:numPr>
        <w:ind w:left="993"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proteggere dall'ambiente freddo il getto coprendolo con teli impermeabili. </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Se la temperatura dell'ambiente è molto elevata (303 K) l'unico problema esistente è la perdita di lavorabilità. Qualora la perdita di lavorabilità sia eccessiva in relazione allo specifico tipo di impiego, si consiglia di adottare i seguenti provvedimenti: </w:t>
      </w:r>
    </w:p>
    <w:p>
      <w:pPr>
        <w:pStyle w:val="PlainText"/>
        <w:numPr>
          <w:ilvl w:val="0"/>
          <w:numId w:val="25"/>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conservare il prodotto in luogo fresco;</w:t>
      </w:r>
    </w:p>
    <w:p>
      <w:pPr>
        <w:pStyle w:val="PlainText"/>
        <w:numPr>
          <w:ilvl w:val="0"/>
          <w:numId w:val="25"/>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impiegare acqua fresca, eventualmente raffreddata con ghiaccio tritato;</w:t>
      </w:r>
    </w:p>
    <w:p>
      <w:pPr>
        <w:pStyle w:val="PlainText"/>
        <w:numPr>
          <w:ilvl w:val="0"/>
          <w:numId w:val="25"/>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preparare la malta nelle ore meno calde della giornata;</w:t>
      </w:r>
    </w:p>
    <w:p>
      <w:pPr>
        <w:pStyle w:val="PlainText"/>
        <w:numPr>
          <w:ilvl w:val="0"/>
          <w:numId w:val="25"/>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nei climi asciutti e ventilati si raccomanda di porre particolare attenzione alla stagionatura.</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malte dovranno essere messe in opera senza casseforme quando lo spessore del ripristino non superi in generale i 5 cm o quando ciò è espressamente previsto in progetto.</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di impiego di casseforme, ove richiesto, si eviteranno quelle di legno per la loro porosità.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Uso di malte cementizie polimero modificate</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malte cementizie polimero modificate predosate a due componenti sono generalmente fornite complete di parte liquida e polvere che vanno miscelati fra di loro all'atto dell'impiego senza aggiungere acqua od altri ingredienti, escludendo quindi la possibilità di errori sul cantiere con assoluta certezza e costanza dei risultati. La miscelazione dei due componenti dovrà essere protratta sino ad ottenere un impasto ben amalgamato, privo di grumi. Possono essere anche utilizzate malte monocomponenti in cui la miscelazione avviene aggiungendo acqua con modalità simili a quelle descritte per i materiali a ritiro compensato. La temperatura ottimale di impiego per le malte cementizie polimero modificate è di 293 K, tuttavia sono accettabili temperature comprese tra 278 e 313 K. Fuori da tali intervalli l'applicazione del prodotto potrà avvenire solo su autorizzazione della Direzione Lavori e con l'adozione di particolari accorgimenti indicati dal produttore. Le malte potranno essere messe in opera anche senza cassaforma quando lo spessore del ripristino non supera i 5 cm o quando ciò è espressamente previsto in progetto. La malta verrà applicata a strati successivi, nello spessore indicato dalle schede tecniche della casa produttrice, direttamente con rinzaffo a cazzuola o con idonea attrezzatura a spruzzo, oppure con fratazzo metallico esercitando una buona pressione e compattazione sul sottofondo. La rifinitura superficiale potrà essere ottenuta con fratazzo di spugna da passare alcuni minuti dopo l'applicazione, oppure con lisciatura a spatola metallica o dorso di cazzuola.</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Uso di malte di resina epossidica </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applicazioni dovranno essere fatte su supporto precedentemente preparato mediante sabbiatura e quindi ben pulito e privo di tracce di solventi e di disarmanti. La Direzione Lavori potrà richiedere l'applicazione di una mano di attacco compatibile con fondi umidi e con la malta di ripristino. Nel caso in cui il ripristino venga eseguito interamente con malta di resina epossidica, si aggiungerà, a giudizio della Direzione Lavori, alla prima mano di attacco uno strato di 2÷3 mm della stessa resina mista a filler. Quando questa seconda mano avrà raggiunto consistenza plastica, si potrà mettere in opera la malta di resina epossidica. Si introdurranno resina ed aggregati nel miscelatore e si mescolerà fino ad ottenere un impasto omogeneo.</w:t>
      </w:r>
      <w:r>
        <w:rPr>
          <w:rFonts w:ascii="Calibri" w:hAnsi="Calibri" w:asciiTheme="minorHAnsi" w:hAnsiTheme="minorHAnsi"/>
          <w:sz w:val="22"/>
          <w:szCs w:val="22"/>
        </w:rPr>
        <w:t xml:space="preserve"> </w:t>
      </w:r>
      <w:r>
        <w:rPr>
          <w:rFonts w:cs="Calibri" w:ascii="Calibri" w:hAnsi="Calibri" w:asciiTheme="minorHAnsi" w:cstheme="minorHAnsi" w:hAnsiTheme="minorHAnsi"/>
          <w:sz w:val="18"/>
          <w:szCs w:val="18"/>
        </w:rPr>
        <w:t xml:space="preserve">Si dovrà tener presente l'influenza della temperatura e dello stato fisico del prodotto perché ciascuna resina epossidica ha una temperatura minima di utilizzazione, indicata dalle case produttrici, che in genere si aggira intorno ai 278 K al di sotto della quale la polimerizzazione avviene lentamente ed in modo incompleto. La miscelazione dei due componenti dovrà essere fatta solo meccanicamente con strumenti a lenta velocità di rotazione, al fine di evitare ogni inclusione di aria. Prima di mettere in opera l'impasto lo si lascerà maturare per evitare che le sue caratteristiche meccaniche decadano in seguito ad un possibile principio di separazione di fase che si manifesta con marezzature della superficie. Potranno anche essere accettati, a giudizio della Direzione Lavori, prodotti premiscelati, per esempio di resina ed aggregati, a cui è sufficiente aggiungere il solo induritore. Si eviterà in ogni modo che rimangano granuli di resina pura nella malta e di conseguenza si sconsiglia l'uso di comuni betoniere da conglomerato cementizio; indicativamente un miscelatore con tazza mobile ruotante nel senso inverso a quello delle pale dovrebbe consentire una più intima adesione fra la resina e gli aggregati. Questi ultimi saranno preferibilmente costituiti da sabbia calcarea di granulometria continua, asciutta e conservata al riparo dall'acqua; la sabbia calcarea è preferibile alla silicea per questi lavori in quanto conferisce alla malta un coefficiente di dilatazione termica più vicino a quello del conglomerato cementizio tradizionale. La pezzatura massima degli aggregati sarà proporzionale alla dimensione del ripristino, in ogni caso non supererà i 5 mm. La messa in opera avverrà con spatole entro il tempo di pot-life e si avrà cura di evitare ogni vibrazione del materiale una volta posto in opera. </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Uso di conglomerati cementizi reoplastici a stabilità volumetrica e ritiro compensato </w:t>
      </w:r>
    </w:p>
    <w:p>
      <w:pPr>
        <w:pStyle w:val="PlainText"/>
        <w:ind w:left="284"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Il conglomerato cementizio a stabilità volumetrica e ritiro compensato è ottenuto miscelando in un normale mescolatore aggregati da conglomerato cementizio con uno speciale legante reoplastico a ritiro compensato in luogo del normale cemento. Si ottengono in tal modo conglomerati cementizi ad elevata resistenza meccanica sino dalle fasi iniziali, a ritiro compensato, molto fluidi e non segregabili con un basso rapporto acqua/legante. È necessario che siano messi in opera entro 90 minuti dal loro confezionamento. </w:t>
      </w:r>
    </w:p>
    <w:p>
      <w:pPr>
        <w:pStyle w:val="PlainText"/>
        <w:ind w:left="284" w:hanging="0"/>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FRATTAZZATURA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Dopo l'applicazione delle malte o dei betoncini, la superficie dovrà essere lisciata mediante frattazzatura. Tale operazione dovrà essere eseguita con molta cura per i materiali che vengono miscelati con acqua; infatti una corretta frattazzatura è indispensabile per contrastare efficacemente la formazione di microfessure, derivanti dal ritiro plastico.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STAGIONATURA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Una corretta stagionatura è fondamentale per evitare la formazione di fessure dovute all'immediata evaporazione di parte dell'acqua di impasto sotto l'azione del sole e del vento. Le malte tissotropiche (A, B ed E) non richiedono stagionatura umida se non in condizioni termoigrometriche particolarmente severe (venti secchi). È invece assolutamente necessario mantenere umide per alcune ore, dopo il getto, le superfici esposte all'aria dei conglomerati a ritiro compensato colabili (C, D, G, H ed I), impiegando acqua nebulizzata oppure prodotti antievaporanti da applicarsi a spruzzo subito dopo terminata l'operazione di messa in opera; la copertura con il curing sarà tanto più rapida quanto più caldo e secco è il clima (il curing potrà essere evitato se si usano malte con microfibre di poliacriliche).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sarà consentito l'impiego di fogli di polietilene trasparente per impedire l'evaporazione dell'acqua in quanto questi ultimi ostacolano la dispersione del calore di idratazione che può provocare fessure per dilatazione termica. Circa il tipo di prodotto di curing, per la maturazione dei getti si dovrà tenere conto del fatto se la superficie debba o no ricevere ulteriori getti di finitura o di proseguimento dei lavori; in tal caso si dovrà verificare che il materiale da applicare sulla pellicola dell'agente di curing indurito sia in grado di aderirvi o, nel caso di applicazioni di rivestimenti protettivi o trattamenti di impermeabilizzazione, dovranno essere utilizzati prodotti antievaporanti che, dopo pochi giorni dall'applicazione, si polverizzino e siano di facile asportazione mediante lavaggio con acqua in pressione. L'eventuale protezione delle strutture ripristinate potrà essere eseguita dopo la maturazione del materiale di apporto (indicativamente 14 giorni dall'esecuzione dei ripristini stessi e comunque in funzione delle condizioni ambientali).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ACCETTAZIONE E SPECIFICHE PRESTAZIONALI DEI MATERIALI PER INTERVENTI DI RIPRISTINO/ADEGUAMENTO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Società Produttrici dovranno ottemperare a quanto previsto nella circolare del Ministero dei Lavori Pubblici n. 2357 del 16/05/96 ed eventuali successive modifiche ed aggiornamenti.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prima dell'inizio dei lavori, dovrà fornire alla Direzione Lavori la documentazione tecnica per la qualifica dei materiali che intende impiegare, dimostrando la piena rispondenza ai requisiti ed alle prestazioni richieste.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La Direzione Lavori in tempo utile rispetto al programma lavori esprimerà il suo parere, potendo comunque prescrivere, a spese dell'Impresa, l'esecuzione di prove, su campioni di materiali forniti dall'Impresa, indicando il laboratorio presso il quale effettuare le prove; saranno richieste verifiche su campioni di materiale di normale fornitura prelevati in contraddittorio in cantiere.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Società Produttrici dovranno fornire, congiuntamente al materiale, una dichiarazione che attesti le prestazioni specifiche della partita di materiale che viene consegnato di volta in volta. Nelle successive tabelle sono indicate le prestazioni minime richieste per i singoli tipi di materiale, salvo migliori caratteristiche definite nel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Prestazioni richieste per i materiali cementizi a ritiro compensato</w:t>
      </w:r>
    </w:p>
    <w:p>
      <w:pPr>
        <w:pStyle w:val="PlainText"/>
        <w:jc w:val="center"/>
        <w:rPr>
          <w:rFonts w:ascii="Calibri" w:hAnsi="Calibri" w:cs="Calibri" w:asciiTheme="minorHAnsi" w:cstheme="minorHAnsi" w:hAnsiTheme="minorHAnsi"/>
          <w:sz w:val="18"/>
          <w:szCs w:val="18"/>
        </w:rPr>
      </w:pPr>
      <w:r>
        <w:rPr/>
        <w:drawing>
          <wp:inline distT="0" distB="0" distL="0" distR="0">
            <wp:extent cx="3812540" cy="3513455"/>
            <wp:effectExtent l="0" t="0" r="0" b="0"/>
            <wp:docPr id="14" name="Immagin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
                    <pic:cNvPicPr>
                      <a:picLocks noChangeAspect="1" noChangeArrowheads="1"/>
                    </pic:cNvPicPr>
                  </pic:nvPicPr>
                  <pic:blipFill>
                    <a:blip r:embed="rId15"/>
                    <a:srcRect l="33246" t="23808" r="31327" b="18149"/>
                    <a:stretch>
                      <a:fillRect/>
                    </a:stretch>
                  </pic:blipFill>
                  <pic:spPr bwMode="auto">
                    <a:xfrm>
                      <a:off x="0" y="0"/>
                      <a:ext cx="3812540" cy="3513455"/>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jc w:val="center"/>
        <w:rPr>
          <w:rFonts w:ascii="Calibri" w:hAnsi="Calibri" w:cs="Calibri" w:asciiTheme="minorHAnsi" w:cstheme="minorHAnsi" w:hAnsiTheme="minorHAnsi"/>
          <w:sz w:val="18"/>
          <w:szCs w:val="18"/>
        </w:rPr>
      </w:pPr>
      <w:r>
        <w:rPr/>
        <w:drawing>
          <wp:inline distT="0" distB="0" distL="0" distR="0">
            <wp:extent cx="3991610" cy="775970"/>
            <wp:effectExtent l="0" t="0" r="0" b="0"/>
            <wp:docPr id="15" name="Immagin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descr=""/>
                    <pic:cNvPicPr>
                      <a:picLocks noChangeAspect="1" noChangeArrowheads="1"/>
                    </pic:cNvPicPr>
                  </pic:nvPicPr>
                  <pic:blipFill>
                    <a:blip r:embed="rId16"/>
                    <a:srcRect l="33882" t="16616" r="34854" b="72605"/>
                    <a:stretch>
                      <a:fillRect/>
                    </a:stretch>
                  </pic:blipFill>
                  <pic:spPr bwMode="auto">
                    <a:xfrm>
                      <a:off x="0" y="0"/>
                      <a:ext cx="3991610" cy="77597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Prestazioni per le malte cementizie polimero modificate</w:t>
      </w:r>
    </w:p>
    <w:p>
      <w:pPr>
        <w:pStyle w:val="PlainText"/>
        <w:jc w:val="center"/>
        <w:rPr>
          <w:rFonts w:ascii="Calibri" w:hAnsi="Calibri" w:cs="Calibri" w:asciiTheme="minorHAnsi" w:cstheme="minorHAnsi" w:hAnsiTheme="minorHAnsi"/>
          <w:sz w:val="18"/>
          <w:szCs w:val="18"/>
        </w:rPr>
      </w:pPr>
      <w:r>
        <w:rPr/>
        <w:drawing>
          <wp:inline distT="0" distB="0" distL="0" distR="0">
            <wp:extent cx="3967480" cy="2656840"/>
            <wp:effectExtent l="0" t="0" r="0" b="0"/>
            <wp:docPr id="16" name="Immagin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descr=""/>
                    <pic:cNvPicPr>
                      <a:picLocks noChangeAspect="1" noChangeArrowheads="1"/>
                    </pic:cNvPicPr>
                  </pic:nvPicPr>
                  <pic:blipFill>
                    <a:blip r:embed="rId17"/>
                    <a:srcRect l="34091" t="31153" r="34854" b="31864"/>
                    <a:stretch>
                      <a:fillRect/>
                    </a:stretch>
                  </pic:blipFill>
                  <pic:spPr bwMode="auto">
                    <a:xfrm>
                      <a:off x="0" y="0"/>
                      <a:ext cx="3967480" cy="2656840"/>
                    </a:xfrm>
                    <a:prstGeom prst="rect">
                      <a:avLst/>
                    </a:prstGeom>
                  </pic:spPr>
                </pic:pic>
              </a:graphicData>
            </a:graphic>
          </wp:inline>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Prestazioni per malte di resina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p>
    <w:p>
      <w:pPr>
        <w:pStyle w:val="PlainText"/>
        <w:jc w:val="center"/>
        <w:rPr>
          <w:rFonts w:ascii="Calibri" w:hAnsi="Calibri" w:cs="Calibri" w:asciiTheme="minorHAnsi" w:cstheme="minorHAnsi" w:hAnsiTheme="minorHAnsi"/>
          <w:sz w:val="18"/>
          <w:szCs w:val="18"/>
        </w:rPr>
      </w:pPr>
      <w:r>
        <w:rPr/>
        <w:drawing>
          <wp:inline distT="0" distB="0" distL="0" distR="0">
            <wp:extent cx="4058920" cy="1751330"/>
            <wp:effectExtent l="0" t="0" r="0" b="0"/>
            <wp:docPr id="17" name="Immagin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7" descr=""/>
                    <pic:cNvPicPr>
                      <a:picLocks noChangeAspect="1" noChangeArrowheads="1"/>
                    </pic:cNvPicPr>
                  </pic:nvPicPr>
                  <pic:blipFill>
                    <a:blip r:embed="rId18"/>
                    <a:srcRect l="33396" t="34789" r="34559" b="40647"/>
                    <a:stretch>
                      <a:fillRect/>
                    </a:stretch>
                  </pic:blipFill>
                  <pic:spPr bwMode="auto">
                    <a:xfrm>
                      <a:off x="0" y="0"/>
                      <a:ext cx="4058920" cy="1751330"/>
                    </a:xfrm>
                    <a:prstGeom prst="rect">
                      <a:avLst/>
                    </a:prstGeom>
                  </pic:spPr>
                </pic:pic>
              </a:graphicData>
            </a:graphic>
          </wp:inline>
        </w:drawing>
      </w:r>
    </w:p>
    <w:p>
      <w:pPr>
        <w:pStyle w:val="PlainText"/>
        <w:jc w:val="center"/>
        <w:rPr>
          <w:rFonts w:ascii="Calibri" w:hAnsi="Calibri" w:cs="Calibri" w:asciiTheme="minorHAnsi" w:cstheme="minorHAnsi" w:hAnsiTheme="minorHAnsi"/>
          <w:sz w:val="18"/>
          <w:szCs w:val="18"/>
        </w:rPr>
      </w:pPr>
      <w:r>
        <w:rPr/>
        <w:drawing>
          <wp:inline distT="0" distB="0" distL="0" distR="0">
            <wp:extent cx="3968115" cy="137795"/>
            <wp:effectExtent l="0" t="0" r="0" b="0"/>
            <wp:docPr id="18" name="Immagin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8" descr=""/>
                    <pic:cNvPicPr>
                      <a:picLocks noChangeAspect="1" noChangeArrowheads="1"/>
                    </pic:cNvPicPr>
                  </pic:nvPicPr>
                  <pic:blipFill>
                    <a:blip r:embed="rId19"/>
                    <a:srcRect l="33799" t="84462" r="33677" b="13550"/>
                    <a:stretch>
                      <a:fillRect/>
                    </a:stretch>
                  </pic:blipFill>
                  <pic:spPr bwMode="auto">
                    <a:xfrm>
                      <a:off x="0" y="0"/>
                      <a:ext cx="3968115" cy="137795"/>
                    </a:xfrm>
                    <a:prstGeom prst="rect">
                      <a:avLst/>
                    </a:prstGeom>
                  </pic:spPr>
                </pic:pic>
              </a:graphicData>
            </a:graphic>
          </wp:inline>
        </w:drawing>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55 Prove e controlli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Come già indicato nel punto precedente i materiali destinati al ripristino/adeguamento delle strutture, per la loro accettazione, dovranno essere sottoposti a prove prima dell'impiego e dovranno attenersi alle specifiche prestazionali. Comunque in corso d'opera le prove dovranno essere ripetute con la frequenza ritenuta necessaria dalla Direzione Lavori. </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Qualora dalle prove eseguite risultassero valori inferiori di non più del 10% rispetto a quelli richiesti, la Direzione Lavori, d'intesa con il Progettista, effettuerà una verifica della sicurezza statica dell'elemento strutturale soggetto a ripristino/adeguamento con i materiali non a norma. Nel caso che tale verifica dia esito positivo il materiale sarà accettato ma verrà applicata una penale. Qualora i valori risultassero minori di oltre il 10% rispetto a quelli richiesti, l'Impresa sarà tenuta a sua totale cura e spese alla rimozione dei materiali già posti in opera.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superfici ripristinate dovranno essere controllate a campione: almeno il 5% per superfici estese e almeno 10% per superfici limitate, per ogni elemento strutturale, mediante bagnatura per verificare l'eventuale presenza di microfessure.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caso si evidenziassero microfessure occorrerà estendere il controllo all'intera superficie riparata per la quale, se l'incidenza dell'area fessurata risulterà maggiore del 20%, l'Impresa dovrà procedere, a sua cura e spese, alla rasatura (tale intervento avrà in genere uno spessore medio di 3 mm; sarà realizzato utilizzando una malta cementizia polimero modificata premiscelata, tissotropica del tipo E1, previa preparazione del supporto mediante sabbiatura o idrosabbiatura, la malta dovrà essere applicata preferibilmente a spruzzo con intonacatrice, l'applicazione con spatola è consentita per interventi d’estensione limitata) e alla protezione con filmogeni, di tipologia da concordare con la Direzione Lavori, in accordo con il Progettista.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La verifica di ottenimento dell'adesione in opera si otterrà con il controllo al martello, con campionamento secondo il criterio indicato per le microfessure.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superfici risonanti a vuoto verranno verificate in contraddittorio e su di esse verrà applicata una penale, salvo richiesta della Direzione Lavori di far effettuare, a cura e spese dell'Impresa, le asportazioni ed il rifacimento del ripristino delle superfici risonanti. Qualora sussistano contemporaneamente due o più difetti sulla stessa superficie sarà richiesta dalla Direzione Lavori la rimozione dei ripristini mal eseguiti.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ADESIVI EPOSSIDICI PER INCOLLAGGIO STRUTTURALE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farà riferimento a materiali con caratteristiche prestazionali equivalenti alle malte di resine tipo F2 (o superiori) di cui al punto precedente, ovvero alle specifiche tecniche riportate in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Peri controlli si farà riferimento alle indicazioni riportate nel capitolo precedente.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RESINE EPOSSIDICHE PER ANCORAGGI DI BARRE METALLICHE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farà riferimento a materiali con caratteristiche prestazionali equivalenti alle malte di resine tipo F1 (o superiori) di cui al punta precedente, ovvero alle specifiche tecniche riportate in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Peri controlli si farà riferimento alle indicazioni riportate nel capitolo precedente.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MALTE E BETONCINI A BASE CEMENTIZIA E/O EPOSSIDICA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farà riferimento a materiali con caratteristiche prestazionali equivalenti alle malte cementizie a ritiro compensato o alle malte epossidiche tipo F1 (o superiori) di cui al punto precedente, ovvero alle specifiche tecniche riportate in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 controlli si farà riferimento alle indicazioni riportate nel capitolo precedente.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56 Prove di carico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di carico, ove ritenute necessarie, dovranno identificare la corrispondenza del comportamento teorico con quello sperimentale. I calcestruzzi degli elementi sottoposti a collando devono aver raggiunto le resistenze previste per il loro funzionamento finale in esercizio.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programma delle prove, stabilito dal Collaudatore, con l'indicazione delle procedure di carico e delle prestazioni attese deve essere sottoposto alla Direzione dei Lavori per l'attuazione e reso noto al Progettista e all’Impresa.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criteri generali sono i seguenti:</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di carico ai fini del collaudo statico dovranno essere eseguite in accordo alle normative vigenti ed alle indicazioni del Collaudatore e della D.L.;</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L'effettuazione delle prove dovrà essere programmata con la D.L. a cura dell'Impresa con adeguato anticipo;</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dovrà verificare e fare in modo che al momento del collaudo risulti disponibile tutta la certificazione</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prevista contrattualmente e dalla normativa vigente.</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della effettuazione delle prove l'Impresa dovrà concordare con la D.L. la quantità ed il tipo delle apparecchiature, degli strumenti e dei materiali da utilizzare, garantendo la operatività e la precisione richiesta e</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facendo eseguire le tarature eventualmente necessarie;</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Sarà cura dell'Impresa assicurare, nel rispetto delle norme di sicurezza, la completa accessibilità sia alle opere</w:t>
      </w:r>
    </w:p>
    <w:p>
      <w:pPr>
        <w:pStyle w:val="PlainText"/>
        <w:ind w:left="720"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collaudare che agli strumenti di misura.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L'Impresa, infine, è tenuta ad accettare sia i risultati delle operazioni di collaudo sia le eventuali azioni ed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interventi, volti a sanare situazioni ritenute insoddisfacenti, da parte della Direzione Lavori, del Collaudatore o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Progettista.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57 - Materiali compositi FRP</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prodotti denominati FRP (acronimo di Fiber Reinforced Polymers) sono “sistemi compositi”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fibrosi a matrice polimerica.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materiale base sarà il rinforzo fibroso costituito da lunghe fibre, aventi un diametro di circa 8</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mm, accostate le une alle altre ed impregnate in sito con una matrice a base di resine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(epossidiche o poliestere bicomponenti a bassa viscosità), che polimerizzeranno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temperatura ambiente o industrialmente mediante il processo di pultrusione.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matrice polimerica avrà il compito di trasferire le sollecitazioni alle fibre di rinforzo,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proteggere la fibra da attacchi di tipo chimico o meccanico o da variazioni di temperatura, 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dare forma al composito.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fibre utilizzate potranno essere di tre tipi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fibre di carbonio, che hanno in generale il vantaggio di una elevata resistenza e rigidezza,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modesta sensibilità alla fatica, eccellente resistenza all’umidità ed agli agenti chimici; mentre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presentano un modesto valore di deformazione ultima, bassa resistenza agli urti e sono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danneggiabili all’intaglio, in conseguenza di una limitata deformabilità in direzione trasversale;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fibre in vetro, che, prodotte per estrusione, presentano un’elevata resistenza a trazione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accompagnata da una limitata resistenza ai carichi ciclici e da una forte sensibilità agli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ambienti alcalini;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fibre aramidiche, di natura polimerica, oltre che dalla buona resistenza e rigidezza, sono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caratterizzate da un’ottima resistenza agli agenti chimici: una forte deperibilità delle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meccaniche può essere causata dai raggi UV.</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_</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meccaniche delle fibre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drawing>
          <wp:inline distT="0" distB="0" distL="0" distR="0">
            <wp:extent cx="4316730" cy="894080"/>
            <wp:effectExtent l="0" t="0" r="0" b="0"/>
            <wp:docPr id="19" name="Immagine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44" descr=""/>
                    <pic:cNvPicPr>
                      <a:picLocks noChangeAspect="1" noChangeArrowheads="1"/>
                    </pic:cNvPicPr>
                  </pic:nvPicPr>
                  <pic:blipFill>
                    <a:blip r:embed="rId20"/>
                    <a:stretch>
                      <a:fillRect/>
                    </a:stretch>
                  </pic:blipFill>
                  <pic:spPr bwMode="auto">
                    <a:xfrm>
                      <a:off x="0" y="0"/>
                      <a:ext cx="4316730" cy="894080"/>
                    </a:xfrm>
                    <a:prstGeom prst="rect">
                      <a:avLst/>
                    </a:prstGeom>
                  </pic:spPr>
                </pic:pic>
              </a:graphicData>
            </a:graphic>
          </wp:inline>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tipologie dei compositi FRP, che potranno utilizzarsi, saranno rappresentate da tessuti,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lamine e barre.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Tessuti, utilizzabili nel rinforzo esterno a flessione, a taglio e per il confinamento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compressione, potranno essere realizzati in fibre secche (carbonio, aramide, vetro)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unidirezionali (fibre orientate secondo un’unica direzione), bi-direzionali (fibre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orientate secondo direzioni 0° e 90°) o bi-assiale (fibre inclinate a±45°). Le larghezze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strisce potranno variare da un minimo di 10 cm ad un massimo di 100 cm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tessuto di fibra con spessore a secco variabile a seconda della natura della fibra, 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diversamente specificato (ad es., per fibre unidirezionali si potranno avere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carbonio circa 0,16 mm, vetro circa 0,23 mm, aramide circa 0,21 mm); anche il peso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sarà variabile in rapporto al materiale ed alla tipologia della fibra (per es. fibre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carbonio unidirezionali peseranno circa 300-600 g/m2, le fibre di carbonio bidirezionali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peseranno circa 230-360 g/m2, mentre quelle bi-assiali circa 450-600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g/m2).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Lamine, utilizzabili nel rinforzo esterno a flessione, rappresenteranno piattine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pultruse in fibre secche (carbonio, aramide, vetro) di spessore superiore a quello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tessuto (rapporto circa 1:8 o superiore) e variabile (per le fibre di carbonio) da 1,4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0 mm così come la larghezza variabile da 50 a 150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Barre, utilizzabili nel rinforzo interno a flessione come tiranti o come armature,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potranno essere realizzate in fibra di carbonio, di vetro o di aramide con diametro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circolare (f 5, 7, 10 mm) o rettangolare di varie sezioni (da 1,5 x 5 mm a 30 x 40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suddette barre pultruse potranno presentare, se richiesto dagli elaborati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progetto, un’aderenza migliorata ottenuta mediante sabbiatura superficiale di quarzo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sferoidale e spiralatura esterna.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Questo tipo di prodotto dovrà, inoltre, presentare un’elevata durabilità nei confronti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tutti gli aggressivi chimici (quali ad es., idrossidi alcalini, cloruri e solfati).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suddetti prodotti verranno considerati al momento della fornitura; la D.L. ai fini della loro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accettazione potrà procedere a controlli (anche parziali) su campioni della fornitura oppure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richiedere un attestato di conformità della fornitura alle prescrizioni indicate negli articoli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specifici.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caso di contestazione, le procedure di prelievo dei campioni, i metodi di prova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valutazione dei risultati saranno quelli indicati nelle norme UNI vigenti, e in mancanza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queste ultime quelli indicati dalle norme estere o internazionali.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58 Micropali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DEFINIZIONE, CLASSIFICAZIONE E CAMPI D'APPLICAZIONE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definiscono micropali i pali trivellati di fondazione aventi diametro inferiore a 300 mm con fusto costituito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malta/miscela cementizia od eventualmente calcestruzzo superfluido gettata in opera e da idonea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armatura di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casi particolari, previsti in Progetto, è ammesso l’ uso di armature speciali in VTR, fibre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aramidiche o carbonio.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Modalità ammesse per la formazione del fusto: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a) Riempimento a gravità;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b) Riempimento a bassa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c) Iniezione ripetuta ad alta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modalità tipo c) è particolarmente indicata per essere eseguita in terreni fortemente eterogenei e per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conseguire capacità portanti elevate (&gt; 30 t) anche in terreni poco addensati.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SOGGEZIONI GEOTECNICHE E AMBIENTALI SPECIFICHE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tecniche di perforazione e le modalità di getto dovranno essere definite in relazione alla natura dei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materiali da attraversare e delle caratteristiche idrogeologiche locali.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scelta delle attrezzature di perforazione ed i principali dettagli esecutivi dovranno essere messi a punto,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cura e spese dell'Appaltatore.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TOLLERANZE GEOMETRICHE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tolleranze ammesse sono le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posizione planimetrica non dovrà discostarsi da quella di Progetto più di 50 mm, salvo diverse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indicazioni della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posizione altimetrica della testa del micropalo non dovrà scostarsi da quelle di Progetto 50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lunghezza del micropalo non dovrà discostarsi da quella di Progetto più di 50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deviazione dell'asse del micropalo verticale rispetto all'asse di Progetto non dovrà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maggiore del 2%.Nel caso di micropali inclinati, tale tolleranza è incrementata al 4%.</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sezione dell'armatura metallica non dovrà risultare inferiore a quella di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diametro dell'utensile di perforazione dovrà risultare non inferiore al diametro di perforazione di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Ogni micropalo che risultasse non conforme alle tolleranze qui stabilite dovrà essere idoneamente sostituito,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cura e spese dell'Appaltatore.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TRACCIAMENTO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di iniziare la perforazione l'Appaltatore dovrà, a sua cura ed onere, individuare sul terreno la posizione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dei micropali mediante appositi picchetti sistemati in corrispondenza dell'asse di ciascun palo.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 ciascun picchetto dovrà essere riportato il numero progressivo del micropalo quale risulta dalla pianta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palificata.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pianta, redatta e presentata alla Direzione Lavori dall'Appaltatore, dovrà indicare la posizione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planimetrica di tutti i micropali, inclusi quelli di prova, contrassegnati con numero progressivo.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PERFORAZIONE</w:t>
      </w:r>
    </w:p>
    <w:p>
      <w:pPr>
        <w:pStyle w:val="PlainText"/>
        <w:rPr/>
      </w:pPr>
      <w:r>
        <w:rPr>
          <w:rFonts w:cs="Calibri" w:ascii="Calibri" w:hAnsi="Calibri" w:asciiTheme="minorHAnsi" w:cstheme="minorHAnsi" w:hAnsiTheme="minorHAnsi"/>
          <w:sz w:val="18"/>
          <w:szCs w:val="18"/>
        </w:rPr>
        <w:t>Attrezzature</w:t>
      </w:r>
      <w:r>
        <w:rPr/>
        <w:t xml:space="preserv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Le attrezzature di perforazione dovranno rispondere ai requisiti richiesti dalle norme EN 791 e pag.147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EN996.</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pompe di alimentazione del fluido di perforazione ed iniezione dovranno assicurare le opportune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portate e pressioni richieste dalla metodologia adottata.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Durante la perforazione, le pompe dovranno assicurare portate di almeno 250 lt/min con pressioni minime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20 bar.</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Metodologie di perforazione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perforazione, eseguita mediante rotazione o rotopercussione in materie di qualsiasi natura e consistenza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(inclusi murature, calcestruzzi, trovanti e roccia dura), anche in presenza d'acqua, deve essere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generale condotta con modalità ed utensili tali da consentire la regolarità delle successive operazioni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formazione del fusto del micropalo e in modo tale da garantire il trasferimento adeguato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carico dall’ armatura al terreno; in particolare dovrà essere minimizzato il disturbo del terreno nell'intorno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tipo b) necessita che la perforazione sia eseguita con posa di rivestimento provvisorio per tutta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profondità del palo.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 tipi a) e c) la perforazione potrà essere eseguita con o senza rivestimento provvisorio,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secco o con circolazione di acqua o di fango di cemento e bentonite, in funzione dell'attitudine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formazioni attraversate a mantenere stabili le pareti del foro.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scelta della metodologia sarà stabilita sulla scorta dei risultati ottenuti nelle prove tecnologiche e sui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risultati delle prove di carico.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caso di terreni con strati o frazioni incoerenti medio-fini (sabbie, sabbie e limi) con perforazione ad aria,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dovranno prevenire i fenomeni di fratturazione del terreno ed evitare il violento emungimento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falda a seguito dell'effetto eiettore ed il conseguente dilavamento del terreno, mediante appositi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accorgimenti e con l’ utilizzo di fluidi di perforazione anti-dilavanti.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presenza di falda artesiane, dovranno essere messe in opera tutte le opportune precauzioni al fine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evitare fenomeni di espulsione incontrollata di materiale da bocca-foro e il successivo dilavamento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miscele/malte durante la formazione del fusto del micropalo.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termine della perforazione il foro dovrà essere accuratamente sgombrato dai detriti azionando il fluido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circolazione o l'utensile asportatore, senza operare con l'utensile disgregatore.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materiale di risulta dovrà essere portato a rifiuto dopo aver trattato i fanghi secondo le leggi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vigenti.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L'ordine di esecuzione dei pali nell'ambito di ciascun gruppo dovrà assicurare la non interferenza delle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perforazioni con fori in corso di iniezione o in attesa di riempimento, ove occorra anche spostando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perforatrice su gruppi contigui prima di ultimare la perforazione dei micropali del gruppo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un micropalo ogni 50, e comunque su almeno un micropalo nel caso di numero tatale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micropali inferiore a 50, dovrà essere eseguita una ricostruzione stratigrafica qualitativa in funzione delle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informazioni ricavate dalla velocità di avanzamento degli utensili di perforazione impiegati e dall’osservazione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dei materiali di risulta.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ricostruzione stratigrafica, la quale dovrà essere eseguita in contraddittorio tra impresa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personale tecnico della Direzione Lavori, è finalizzata essenzialmente alla individuazione delle quote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tetto dell’eventuale substrato litoide.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tale quota risulti inferiore di circa 1.0 m rispetto a quanto assunto in fase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dimensionamento, si dovrà dare evidenze al Progettista per le valutazioni del caso.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sonde di perforazione impiegate per la realizzazione dei “micropali geognostici” dovranno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attrezzate con un sistema di registrazione automatica computerizzata per il rilievo, la registrazione,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l’elaborazione e la restituzione in continuo dei seguenti parametri (DAC test):</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drawing>
          <wp:anchor behindDoc="1" distT="0" distB="0" distL="0" distR="0" simplePos="0" locked="0" layoutInCell="1" allowOverlap="1" relativeHeight="2">
            <wp:simplePos x="0" y="0"/>
            <wp:positionH relativeFrom="margin">
              <wp:align>left</wp:align>
            </wp:positionH>
            <wp:positionV relativeFrom="page">
              <wp:posOffset>1953260</wp:posOffset>
            </wp:positionV>
            <wp:extent cx="2483485" cy="1042035"/>
            <wp:effectExtent l="0" t="0" r="0" b="0"/>
            <wp:wrapNone/>
            <wp:docPr id="20" name="Immagine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47" descr=""/>
                    <pic:cNvPicPr>
                      <a:picLocks noChangeAspect="1" noChangeArrowheads="1"/>
                    </pic:cNvPicPr>
                  </pic:nvPicPr>
                  <pic:blipFill>
                    <a:blip r:embed="rId21"/>
                    <a:stretch>
                      <a:fillRect/>
                    </a:stretch>
                  </pic:blipFill>
                  <pic:spPr bwMode="auto">
                    <a:xfrm>
                      <a:off x="0" y="0"/>
                      <a:ext cx="2483485" cy="1042035"/>
                    </a:xfrm>
                    <a:prstGeom prst="rect">
                      <a:avLst/>
                    </a:prstGeom>
                  </pic:spPr>
                </pic:pic>
              </a:graphicData>
            </a:graphic>
          </wp:anchor>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xml:space="preserve">Le risultanze (grafici e dati numerici) dei DAC test dovranno essere tempestivamente trasmesse alla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 in forma cartacea e su supporto informatico.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CONFEZIONE E POSA DELLE ARMATURE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armature dovranno soddisfare le prescrizioni di cui al presente articolo e saranno in ogni caso estese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tutta la lunghezza del micropalo.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Copriferro delle armature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funzione del materiale impiegato per la formazione del fusto del micropalo, dovranno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assicurati i seguenti copriferri S minimi: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Maggiori valori di copriferro S potranno essere prescritti in Progetto, sulla base di particolari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condizioni di aggressività delle acque presenti nel sottosuolo (acque contaminate e salmastre). Per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definizione di tali condizioni viene fatto riferimento alle classi di esposizione indicate nelle norme EN 206.</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Armatura con profilati di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caratteristiche geometriche e meccaniche dei profilati dovranno essere conformi a quanto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prescritto nei disegni di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norma i profilati dovranno essere costituiti da elementi unici. Saranno ammesse giunzioni saldate,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realizzate con l'impiego di adeguati fazzoletti laterali, nel caso di lunghezze superiori ai valori degli standard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commerciali (12 ÷ 14m).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Direzione Lavori si riserva la facoltà di richiedere che il saldatore abbia la qualifica a norma UNI 4634.</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Armature tubolari in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useranno tubi di acciaio rispodenti alle norme UNI EN 10210 e conformi a quanto riportato nel presente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Capitolato Speciale al capitolo “MATERIALI”. Il tipo di acciaio dovrà corrispondere a quanto riportato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giunzioni tra i diversi spezzoni di tubo dovranno essere ottenute mediante manicotti filettati; Il sistema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filettatura e le sezioni geometriche della zona di raccordo dovranno assicurare una trazione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ammissibile pari almeno all'80% carico ammissibile a compressione.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i tubi di armatura siano anche dotati di valvole per l'iniezione, essi dovranno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scovolati internamente dopo l'esecuzione dei fori di uscita della malta allo scopo di asportare le sbavature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lasciate dal trapano.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valvole saranno costituite da manicotti di gomma di spessore minimo 3,5 mm, aderenti al tubo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mantenuti in posto mediante anelli in fili d'acciaio (diametro 4 mm) saldati al tubo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corrispondenza dei bordi del manicotto. La valvola più bassa sarà posta subito sopra il fondello che occlude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base del tubo.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sono ammesse valvole a scomparsa, in cui il foro di uscita della miscela non è protetto da una guaina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plastica di ripartizione.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armature tubolari dovranno essere dotate di distanziatori non metallici per assicurare il copriferro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minimo richiesto. Lungo il fusto del micropalo, l’interspazio fra i distanziatori non dovrà superare i 3 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Armature in materiale speciale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in cui i micropali abbiano un funzione temporanea, limitata nel tempo, per un periodo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specificato nei documenti di Progetto e comunque non superiore a 12 mesi, è ammesso l’ impiego di barre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elementi tubolari in VTR conformi a quanto riportato nel presente Capitolato Speciale.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 ambito di interventi definitivi è ammesso l’ impiego di armature o elementi tubolari in carbonio.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caratteristiche dei materiali utilizzati dovranno essere conformi a quanto prescritto in Progetto.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FORMAZIONE DEL FUSTO DEL MICROPALO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formazione del fusto dovrà iniziare in una fase immediatamente successiva alla perforazione di ciascun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palo. In caso contrario la perforatrice resterà in posizione fino alla successiva ripresa del lavoro e provvederà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quindi alla pulizia del perforo subito prima che inizino le operazioni di posa delle armature e di getto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malta.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ogni caso non dovrà trascorrere più di un'ora tra il termine della perforazione e l'inizio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formazione del fusto del micropalo.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Fanno eccezione solo i micropali perforati interamente in roccia, senza presenza di franamenti e di acqua nel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perforo. Viene inoltre precisata la necessità assoluta che la scapitozzatura delle teste dei pali sia eseguita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sino alla completa eliminazione di tutti i tratti in cui le caratteristiche del micropalo non rispondono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quelle previste. In tal caso è onere dell'Appaltatore procedere al ripristino del palo sino alla quota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sottoplinto.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Riempimento a gravità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riempimento del perforo, dopo la posa delle armature, dovrà avvenire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-attraverso il tubo di armatura (dotato di appositi orifizi alla base) mediante una apposita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campana di adduzione installata sulla testa del tubo stesso ed alimentata da pompa volumetrica o a pistone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tramite un tubo di alimentazione disceso fino a 10÷15 cm dal fondo e dotato superiormente di un imbuto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 tramoggia di carico.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riempimento sarà proseguito fino a che la malta/miscela immessa risalga in superficie scevra di inclusioni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miscelazioni con il fluido di perforazione.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attenderà per accertare la necessità o meno di rabbocchi e si potrà quindi estrarre il tubo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convogliamento allorquando il foro sarà intasato e stagnato.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Eventuali rabbocchi da eseguire prima di raggiungere tale situazione vanno praticati esclusivamente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 fondo del foro.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Riempimento a bassa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foro dovrà essere interamente rivestito; la posa della malta/miscela avverrà in un primo momento entro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rivestimento provvisorio tramite un tubo di convogliamento come descritto al punto precedente.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Successivamente si applicherà al rivestimento una idonea testa a tenuta entro la quale verrà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pompata in pressione la stessa miscela cementizia o, in alternativa, si invierà aria in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(0,5-0,6 MPa) mentre si solleverà gradualmente il rivestimento fino alla sua prima giunzione.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smonterà allora la sezione superiore del rivestimento e si applicherà la testa di pressione alla parte rimasta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terreno; nel caso di utilizzo di aria tale operazione avverrà dopo il rabboccamento dall'alto per riportare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livello la malta/miscela.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procederà analogamente per le sezioni successive fino a completare l'estrazione del rivestimento.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relazione alla natura del terreno potrà essere sconsigliabile applicare la pressione d'aria agli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ultimi 5 - 6 m di rivestimento da estrarre per evitare la fratturazione idraulica degli strati superficiali.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ripetuta ad alta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fasi della posa in opera saranno le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riempimento della cavità anulare compresa tra il tubo a valvole e le pareti del perforo, ottenuta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alimentando con apposito condotto di iniezione e otturatore semplice la valvola più bassa finché la miscela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risale fino alla bocca del foro (formazione della guaina);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II) lavaggio con acqua all'interno del tubo;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III) avvenuta la presa della miscela precedentemente posta in opera, si inietteranno, valvola per valvola,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volumi di miscela prefissati, senza superare durante l'iniezione la pressione corrispondente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fratturazione idraulica del terreno ("claquage"); Per ciascuna valvola, durante la fase iniziale di apertura,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dovrà essere superata la pressione massima di 6 MPa. In caso di superamento, la valvola dovrà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abbandonata.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IV) Durante le prove tecnologiche preliminari, l’Appaltatore dovrà mettere a punto e definire i tempi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inizio della fase di iniezione rispetto alla precedente formazione della guaina, in modo da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assicurare che la miscela abbia raggiunto un sufficiente indurimento ma senza una resistenza eccessiva tale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precludere la sua iniziale idro-fratturazione.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 L’ iniezione dovrà essere eseguita con portate non superiori a 8 lt/min.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VI) Indicativamente, salvo diverse prescrizioni di Progetto, i volumi di iniezione non saranno inferiori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tre volte il volume teorico della sezione di foro associato a ciascuna valvola.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VII) lavaggio con acqua all'interno del tubo;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VIII) avvenuta la presa della miscela precedentemente iniettata, si ripeterà l'iniezione in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limitatamente alle valvole per le quali: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volume iniettato non abbia raggiunto il limite predetto a causa della incipiente fratturazione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idraulica del terreno;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le pressioni residue nette di iniezione, misurate a bocca foro al raggiungimento del limite volumetrico, non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superino 0,5 MPa.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IX) Al termine delle iniezioni si riempirà a gravità l'interno del tubo.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attrezzature per l'iniezione dovranno essere munite di flussimetri o opportuni "contacolpi"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certificati al fine di verificare i quantitativi effettivamente iniettati e di sensori di pressione certificati installati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sia a bocca foro e sia alle pompe.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DELLE MISCELE CEMENTIZIE E DELLE MALTE CEMENTIZIE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funzione delle condizione di aggressività del terreno, come riportato nelle norme EN206-1, dovrà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selezionato l’ opportuno tipo di cemento in conformità alle norme EN197-1.</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presenza di falda in movimento, non è ammesso l’ impiego di miscele cementizie; inoltre per le malte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calcestruzzi dovranno essere impiegati addittivi antidilavanti.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 cementizia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rapporto acqua/cemento dovrà essere inferiore a 0.55.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Altrimenti specificato nel Progetto, dovrà essere effettuato un prelievo di miscela dall’impianto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miscelazione ogni 7 giorni lavorativi sul quale verranno effettuate prove di densità 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decantazione.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prodotto fresco dovrà avere le seguenti caratteristiche: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scostamento del peso specifico dal valore teorico: ±2%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decantazione a due ore dalla preparazione: &lt;= 3 % in volume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la miscela prelevata dovranno essere preparati almeno un gruppo di tre campioni da sottoporre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alle prove di resistenza.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ciascun campione, la resistenza minima richiesta dovrà essere superiore a 25 Mpa, valutata con prova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compressione monoassiale, su campioni cilindrici di altezza pari a due volte il diametro semplice,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essere superiore a 30 Mpa, valutata con prova a compressione monoassiale su campioni cubici.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Malta Cementizia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rapporto acqua/cemento dovrà essere inferiore a 0.5.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non diversamente richiesto in Progetto, il contenuto in cemento non dovrà comunque essere inferiore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600 kg/mc.</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aggregati utilizzati non dovranno superare il diametro massimo di 8 mm, con d 85 &lt;= 4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Altrimenti specificato nel Progetto, dovrà essere effettuato un prelievo di miscela dall’ impianto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miscelazione ogni 7 giorni lavorativi sul quale verranno effettuate prove di densità e di decantazione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prodotto fresco dovrà avere le seguenti caratteristiche: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scostamento del peso specifico dal valore teorico: ±5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decantazione a ventiquattro ore dalla preparazione: &lt;= 3 % in volume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la miscela prelevata dovranno essere preparati almeno un gruppo di tre campioni da sottoporre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alle prove di resistenza.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ciascun campione, la resistenza minima richiesta dovrà essere superiore a 25 Mpa, valutata con prova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compressione monoassiale, su campioni cilindrici di altezza pari a due volte il diametro semplice,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dovrà essere superiore a 30 Mpa, valutata con prova a compressione monoassiale su campioni cubici.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Calcestruzzo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rapporto acqua/cemento dovrà essere inferiore a 0.6.</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non diversamente richiesto in Progetto, il contenuto in cemento non dovrà comunque essere inferiore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375 kg/mc.</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diametro massimo degli aggregati dovrà essere inferiore al minimo fra i seguenti valori: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- 16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- 0.25 dell’interspazio netto fra le barre o del copriferro teorico,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- 0.15 del diametro interno del tubo di convogliamento.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Altrimenti specificato nel Progetto, dovrà essere effettuato un prelievo di miscela dall’impianto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miscelazione ogni 7 giorni lavorativi, sul quale verranno effettuate prove di densità 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decantazione.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prodotto fresco dovrà avere le seguenti caratteristiche: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scostamento del peso specifico dal valore teorico: ±5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decantazione a ventiquattro ore dalla preparazione: &lt;= 3 % in volume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peso specifico verrà calcolato assumendo il peso specifico assoluto del cemento pari a quello riportato nelle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schede tecniche del prodotto, 2,65 g/cm³ quello degli aggregati, nell'ipotesi che non venga inclusa aria.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la miscela prelevata dovranno essere preparati almeno un gruppo di tre campioni da sottoporre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alle prove di resistenza.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ciascun campione, la resistenza minima richiesta dovrà essere superiore a 30 Mpa, valutata con prova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compressione monoassiale su campioni cubici.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modalità di prova dovranno essere conformi alle normative vigenti ed alle preventive richieste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pag.152</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CONTROLLI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controllo della profondità dei perfori, rispetto alla quota di sottoplinto, verrà effettuato in doppio modo: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in base alla lunghezza delle aste di perforazione immerse nel foro al termine della perforazione,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l'utensile appoggiato sul fondo;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 in base alla lunghezza dell'armatura.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differenza tra le due misure dovrà risultare &lt; 0,10 m; in caso contrario occorrerà procedere alla pulizia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fondo del foro asportandone i detriti accumulatisi, dopo aver estratto l'armatura.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L'accettazione delle armature verrà effettuata: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nel caso di armature in barre longitudinali a aderenza migliorata, in base alla rispondenza al Progetto dei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vari diametri nominali e delle lunghezze;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nel caso di armature a tubo di acciaio, in base alle lunghezze, al diametro e allo spessore dei tubi previsti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 accettazione della miscela avverrà secondo i criteri indicati al paragrafo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DOCUMENTAZIONE DEI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L'esecuzione di ogni singolo micropalo sarà documentata mediante la compilazione da parte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dell'Appaltatore in contraddittorio con la Direzione Lavori di una apposita scheda sulla quale 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registreranno i dati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identificazione del micropalo;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data di inizio perforazione e termine del getto (o 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profondità effettiva raggiunta dalla perforazione (detta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profondità del foro all'atto della posa dell'armatura (detta "B");</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assorbimento totale effettivo di miscela di 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per i micropali formati mediante iniezione ripetuta ad alta pressione, pressioni residue minime e quantità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complessive iniettate per ogni fase di iniezione ad alta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scheda dovrà essere riportata su apposito modello che dovrà essere trasmesso dall'Appaltatore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alla Direzione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APPENDICE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Misure del peso specifico della miscela cementizia e malta cementizia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userà di regola una bilancia (pesa di Baroid) che consiste in un'asta graduata in g/l imperniata 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basamento e munita ad un estremo di contrappeso ed all'altro di un contenitore.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Quest'ultimo una volta riempito sarà chiuso con un coperchio forato; si garantirà il completo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riempimento del contenitore facendo in modo che della miscela fuoriesca dal foro.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Successivamente si avrà cura di pulire l'esterno del contenitore e del coperchio.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sposterà il cursore posto sull'asta finché questa assumerà una posizione orizzontale, individuata dalla bolla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livella montata sull'asta.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tale posizione si leggerà direttamente sull'asta il peso di volume racchiuso nel contenitore.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taratura si riempirà il contenitore di acqua distillata controllando che il peso di volume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indicato dal cursore corrisponda a 1000 g/l; in caso contrario si toglieranno o aggiungeranno dei pallini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piombo nel corpo del contrappeso. L'approssimazione delle misure dovrà essere di ±5 g/l.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Misure della decantazione per le miscele cementizie e le malte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userà di regola una buretta graduata da un litro.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pag.153</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materiale prelevato verrà versato nel recipiente e lasciato a riposo per due ore. Al termine di tale periodo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verrà misurato il quantitativo di acqua essudato. Il rapporto fra l’altezza dell’acqua separata e 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altezza complessiva del campione rappresenta il valore di decantazione.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b/>
          <w:b/>
          <w:bCs/>
          <w:sz w:val="18"/>
          <w:szCs w:val="18"/>
        </w:rPr>
      </w:pPr>
      <w:r>
        <w:rPr>
          <w:rFonts w:cs="Calibri" w:ascii="Calibri" w:hAnsi="Calibri" w:asciiTheme="minorHAnsi" w:cstheme="minorHAnsi" w:hAnsiTheme="minorHAnsi"/>
          <w:b/>
          <w:bCs/>
          <w:sz w:val="18"/>
          <w:szCs w:val="18"/>
        </w:rPr>
        <w:t>Art 59 TIRANTI DI ANCORAGGIO NEI TERRENI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DEFINIZIONI E SCOPO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tiranti di ancoraggio sono elementi strutturali operanti in trazione ed atti a trasmettere forze al terreno.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tirante si compone delle seguenti parti: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testa di ancoraggio, costituita dal dispositivo di bloccaggio e dalla piastra di ripartizione;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tratto libero, che è il tratto intermedio di collegamento tra la testa e il tratto attivo;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tratto attivo o vincolato o di fondazione, che trasmette al terreno le forze di trazione del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relazione alla durata di esercizio definita nel Progetto i tiranti si distinguono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temporanei se la durata non supera i 24 mesi;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permanenti se la durata uguaglia o supera i 24 mesi.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caratteristiche geometriche e strutturali dei tiranti sono definite nel progetto esecutivo.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NORMATIVE DI RIFERIMENTO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drawing>
          <wp:anchor behindDoc="1" distT="0" distB="0" distL="0" distR="0" simplePos="0" locked="0" layoutInCell="1" allowOverlap="1" relativeHeight="3">
            <wp:simplePos x="0" y="0"/>
            <wp:positionH relativeFrom="margin">
              <wp:posOffset>-1270</wp:posOffset>
            </wp:positionH>
            <wp:positionV relativeFrom="page">
              <wp:posOffset>5063490</wp:posOffset>
            </wp:positionV>
            <wp:extent cx="4462780" cy="857250"/>
            <wp:effectExtent l="0" t="0" r="0" b="0"/>
            <wp:wrapNone/>
            <wp:docPr id="21" name="Immagine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48" descr=""/>
                    <pic:cNvPicPr>
                      <a:picLocks noChangeAspect="1" noChangeArrowheads="1"/>
                    </pic:cNvPicPr>
                  </pic:nvPicPr>
                  <pic:blipFill>
                    <a:blip r:embed="rId22"/>
                    <a:stretch>
                      <a:fillRect/>
                    </a:stretch>
                  </pic:blipFill>
                  <pic:spPr bwMode="auto">
                    <a:xfrm>
                      <a:off x="0" y="0"/>
                      <a:ext cx="4462780" cy="857250"/>
                    </a:xfrm>
                    <a:prstGeom prst="rect">
                      <a:avLst/>
                    </a:prstGeom>
                  </pic:spPr>
                </pic:pic>
              </a:graphicData>
            </a:graphic>
          </wp:anchor>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PROVE DI CARICO PRELIMINARI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di dare inizio ai lavori l'Appaltatore dovrà mettere a punto la metodologia esecutiva (perforazione,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ecc) e testarne l'efficacia mediante un adeguato numero di prove di carico su tiranti di ancoraggio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preliminati, i quali dovranno essere realizzati con lo stesso sistema costruttivo degli ancoraggi di progetto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una volta sottoposti a prova di carico, non potranno più essere utilizzati per l'impiego successivo.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ancoraggi preliminari di prova (ancoraggi di progetto) - sottoposti a sollecitazioni più severe di quelle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verifica e non utilizzabili per l’impiego successivo - devono essere realizzati con lo stesso sistema costruttivo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quelli definitivi, nello stesso sito e nelle stesse condizioni ambientali.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ancoraggi preliminari di prova devono essere realizzati dopo l’esecuzione di quelle operazioni, quali scavi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riporti, che possano influire sulla capacità portante della fondazione.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Nelle valutazioni si terrà conto della variazione della resistenza allo sfilamento nel tempo, per effetto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comportamento viscoso del terreno e dei materiali che costituiscono l’ancoraggio.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numero di prove di progetto non deve essere inferiore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ƺ 1 se il numero degli ancoraggi è inferiore a 30,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ƺ 2 se il numero degli ancoraggi è compreso tra 31 e 50,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ƺ 3 se il numero degli ancoraggi è compreso tra 51 e 100,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ƺ 7 se il numero degli ancoraggi è compreso tra 101 e 200,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ƺ 8 se il numero degli ancoraggi è compreso tra 201 e 500,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ƺ 10 se il numero degli ancoraggi è superiore a 500.</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LINEE GUIDA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prevede che vengano eseguite prove di carico su almeno tre tipologie di tiranti preliminari: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n. 1 elemento avente una lunghezza del tratto di fondazione ridotta rispetto a quella di Progetto,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armatura equivalente a quella di Progetto, eseguito con la metodologia identica a quella prevista dall’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Appaltatore. In fase di tesatura, l’elemento verrà portato alle condizioni limite della fondazione o comunque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ad un carico Pp non superiore ad un limite di sicurezza dell’ armatura pari al 95% Pyk (Pyk carico limite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corrispondente allo snervamento dell’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n. 1 elemento avente una lunghezza del tratto di fondazione pari a quella di Progetto,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armatura sovradimensionata, eseguito con metodologia di perforazione ed iniezione simile a quella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prevista; in questo caso sono ammessi calibri di perforazione maggiorati al fine di consentire 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installazione delle armature. In fase di tesatura, l’elemento verrà portato alle condizioni limite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fondazione o comunque ad un carico Pp non superiore ad un limite di sicurezza dell’ armatura pari al 95%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Pyk (Pyk carico limite corrispondente allo snervamento dell’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n. 1 elemento avente una lunghezza del tratto di fondazione e armatura pari a quella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Progetto, eseguito con metodologia di perforazione ed iniezione scelta sulla base dei risultati delle prime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due prove. In fase di tesatura, l’elemento verrà portato ad un carico Pp non superiore ad un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limite di sicurezza dell’ armatura pari al 95%Pyk (Pyk carico limite corrispondente allo snervamento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Come linee guida principali della fase di tesatura si prevede quanto segue: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ogni elemento dovrà essere caricato con cicli di carico-scarico, partendo dal carico di riferimento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iniziale 0.1Pp sino al carico massimo della prova Pp (pari al presunto carico Ra - resistenza limite del tratto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vincolato del tirante e comunque inferiore a 0.95Pyk).</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l’elemento dovrà essere caricato fino al carico Pp con almeno sei incrementi di carico,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misura degli allungamenti.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per ogni gradino di carico si manterrà il valore raggiunto per un periodo di tempo (DT) almeno pari a 60’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terreni non coesivi e di 180’ per terreni coesivi, e comunque prolungato sino a che la velocità di creep Ks</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(come definita nel seguito) risulti stabilizzata.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su richiesta della Direzione Lavori e del progettista potranno essere richiesti, per un determinato livello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carico, periodi anche superiori alle 72 ore, di osservazione degli allungamenti dell’ elemento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condizioni di carico costante.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criteri di accettazione del tirante, si baseranno sulla valutazione della lunghezza libera apparente e sulla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valutazione del valore limite a rottura della interfaccia terreno/fondazione del tirante, anche alla luce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fenomeni di allungamento a carico costante (creep caratteristico e creep critico).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valutazione limite a rottura della interfaccia terreno/fondazione dovrà essere effettuata mediante analisi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geotecniche che consentano di differenziare i contributi alla resistenza del tirante offerti dal tratto libero e dal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tratto attivo.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PROVE DI CARICO IN CORSO D'OPERA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di carico in corso d’opera devono essere effettuate su tutti gli ancoraggi per controllarne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comportamento sotto le azioni di progetto. La prova consiste nell’applicazione di un ciclo semplice di carico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scarico; in questo ciclo il tirante viene sottoposto ad una forza pari a 1,2 l’azione di progetto P d utilizzata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le verifiche SLE, verificando che gli allungamenti misurati siano nei limiti previsti e/o compatibili con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misure sugli ancoraggi preliminari di prova.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LUNGHEZZA LIBERA APPARENTE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calcolare la lunghezza libera apparente L app si dovrà usare la seguente relazione: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drawing>
          <wp:anchor behindDoc="1" distT="0" distB="0" distL="0" distR="0" simplePos="0" locked="0" layoutInCell="1" allowOverlap="1" relativeHeight="4">
            <wp:simplePos x="0" y="0"/>
            <wp:positionH relativeFrom="page">
              <wp:posOffset>950595</wp:posOffset>
            </wp:positionH>
            <wp:positionV relativeFrom="page">
              <wp:posOffset>7642860</wp:posOffset>
            </wp:positionV>
            <wp:extent cx="1465580" cy="276860"/>
            <wp:effectExtent l="0" t="0" r="0" b="0"/>
            <wp:wrapNone/>
            <wp:docPr id="22" name="Immagine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49" descr=""/>
                    <pic:cNvPicPr>
                      <a:picLocks noChangeAspect="1" noChangeArrowheads="1"/>
                    </pic:cNvPicPr>
                  </pic:nvPicPr>
                  <pic:blipFill>
                    <a:blip r:embed="rId23"/>
                    <a:stretch>
                      <a:fillRect/>
                    </a:stretch>
                  </pic:blipFill>
                  <pic:spPr bwMode="auto">
                    <a:xfrm>
                      <a:off x="0" y="0"/>
                      <a:ext cx="1465580" cy="276860"/>
                    </a:xfrm>
                    <a:prstGeom prst="rect">
                      <a:avLst/>
                    </a:prstGeom>
                  </pic:spPr>
                </pic:pic>
              </a:graphicData>
            </a:graphic>
          </wp:anchor>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dove:</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At è l'area della sezione trasversale dell'armatura;</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Et è il modulo elastico dell'armatura;</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Ds è l'allungamento elastico dell'armatura (valutato per l’intervallo di carico DP);</w:t>
      </w:r>
    </w:p>
    <w:p>
      <w:pPr>
        <w:pStyle w:val="PlainText"/>
        <w:numPr>
          <w:ilvl w:val="0"/>
          <w:numId w:val="26"/>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DP è l’ intervallo di carico corrispondente al massimo livello di carico raggiunto nel ciclo di carico-scarico analizzato, meno il carico iniziale di riferimento.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limiti entro i quali deve trovarsi L app sono: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limite superiore: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drawing>
          <wp:anchor behindDoc="1" distT="0" distB="0" distL="0" distR="0" simplePos="0" locked="0" layoutInCell="1" allowOverlap="1" relativeHeight="5">
            <wp:simplePos x="0" y="0"/>
            <wp:positionH relativeFrom="page">
              <wp:posOffset>861695</wp:posOffset>
            </wp:positionH>
            <wp:positionV relativeFrom="page">
              <wp:posOffset>9203055</wp:posOffset>
            </wp:positionV>
            <wp:extent cx="1686560" cy="593090"/>
            <wp:effectExtent l="0" t="0" r="0" b="0"/>
            <wp:wrapNone/>
            <wp:docPr id="23" name="Immagine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50" descr=""/>
                    <pic:cNvPicPr>
                      <a:picLocks noChangeAspect="1" noChangeArrowheads="1"/>
                    </pic:cNvPicPr>
                  </pic:nvPicPr>
                  <pic:blipFill>
                    <a:blip r:embed="rId24"/>
                    <a:stretch>
                      <a:fillRect/>
                    </a:stretch>
                  </pic:blipFill>
                  <pic:spPr bwMode="auto">
                    <a:xfrm>
                      <a:off x="0" y="0"/>
                      <a:ext cx="1686560" cy="593090"/>
                    </a:xfrm>
                    <a:prstGeom prst="rect">
                      <a:avLst/>
                    </a:prstGeom>
                  </pic:spPr>
                </pic:pic>
              </a:graphicData>
            </a:graphic>
          </wp:anchor>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considerando il maggiore dei due valori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limite inferiore: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drawing>
          <wp:anchor behindDoc="1" distT="0" distB="0" distL="0" distR="0" simplePos="0" locked="0" layoutInCell="1" allowOverlap="1" relativeHeight="6">
            <wp:simplePos x="0" y="0"/>
            <wp:positionH relativeFrom="margin">
              <wp:align>left</wp:align>
            </wp:positionH>
            <wp:positionV relativeFrom="page">
              <wp:posOffset>2474595</wp:posOffset>
            </wp:positionV>
            <wp:extent cx="1449070" cy="356870"/>
            <wp:effectExtent l="0" t="0" r="0" b="0"/>
            <wp:wrapNone/>
            <wp:docPr id="24" name="Immagine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51" descr=""/>
                    <pic:cNvPicPr>
                      <a:picLocks noChangeAspect="1" noChangeArrowheads="1"/>
                    </pic:cNvPicPr>
                  </pic:nvPicPr>
                  <pic:blipFill>
                    <a:blip r:embed="rId25"/>
                    <a:stretch>
                      <a:fillRect/>
                    </a:stretch>
                  </pic:blipFill>
                  <pic:spPr bwMode="auto">
                    <a:xfrm>
                      <a:off x="0" y="0"/>
                      <a:ext cx="1449070" cy="356870"/>
                    </a:xfrm>
                    <a:prstGeom prst="rect">
                      <a:avLst/>
                    </a:prstGeom>
                  </pic:spPr>
                </pic:pic>
              </a:graphicData>
            </a:graphic>
          </wp:anchor>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 b = lunghezza del tratto vincolato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Ll = lunghezza libera teorica del tirante (dalla testata di ancoraggio all’ inizio del tratto vincolato)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 e = lunghezza del tratto libero dell’ armatura compreso fra la testata di ancoraggio e il punto di presa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martinetto idraulico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la lunghezza libera apparente dell'armatura risulta fuori dei limiti, si può comunque sottoporre il tirante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cicli ripetuti di carico fino a Pp e nel caso in cui il comportamento carico/allungamento risulta di buona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ripetibilità, il tirante potrà essere accettato dal progettista.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CREEP CRITICO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L'incremento degli spostamenti della testa d’ancoraggio rispetto a un punto fisso viene misurato per ciascun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ciclo di carico al raggiungimento del carico massimo corrispondente e successivamente con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mantenimento di tale carico per un intervallo di tempo specificato.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definisce come velocità di creep K s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Ks = (s 2 - s 1 )/ log(t 2 /t 1 )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 1 è lo spostamento della testa al tempo t 1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 2 è lo spostamento della testa al tempo t 2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 è il tempo intercorso dopo l'applicazione dell'incremento di carico.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velocità di creep caratteristica Ksc viene determinato dopo che K s essa risulta costante su due intervalli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tempo consecutivi.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misurazioni degli spostamenti della testa di ancoraggio si svolgeranno ai tempi qui indicati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(minuti):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 2, 3, 5, 10, 15, 20, 30, 45, 60, 180, ed eventuali tempi superiori.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creep critico K sc è la velocità massima di creep ammessa ad uno specificato livello di carico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corrispondente a 2.5 mm.</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SOGGEZIONI GEOTECNICHE, IDROGEOLOGICHE E AMBIENTALI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tecniche di perforazione e le modalità di connessione al terreno dovranno essere definite in relazione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natura dei materiali da attraversare e delle caratteristiche idrogeologiche locali.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Particolare cura dovrà essere posta relativamente alla verifica dell'aggressività dell'ambiente nei riguardi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cemento impiegato nella realizzazione della miscela di iniezione dei tiranti. L'ambiente verrà dichiarato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aggressivo quando: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grado idrotimetrico (durezza) dell'acqua del terreno o di falda risulti &lt; 3 F;</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valore del pH dell'acqua risulti &lt; 6;</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contenuto in CO 2 disciolta nell'acqua risulti &gt; 30 mg/l;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contenuto in NH 4 dell'acqua risulti &gt; 30 mg/l;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contenuto in ioni Mg dell'acqua risulti &gt; 300 mg/l;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contenuto in ioni SO dell'acqua risulti &gt; 600 mg/l o &gt; 6000 mg/kg di terreno secco;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 tiranti si trovino in vicinanza di linee ferroviarie o di altri impianti a corrente continua non isolati e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potenze maggiori di 50 kW;</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l'opera risulti situata a distanza &lt; 300 m dal litorale marino.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caso di ambiente aggressivo accertato, l'utilizzo del tipo di cemento dovrà essere approvato dalla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MATERIALI ED ELEMENTI COSTRUTTIVI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Ogni partita di tiranti confezionati in stabilimento dovrà essere accompagnata da un attestato di conformità,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accordo con il D.M. 246 del 21 Aprile 1993, attestante le caratteristiche dei materiali utilizzati.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ACCIAI E DISPOSITIVI DI BLOCCAGGIO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acciai impiegati nella realizzazione dei tiranti di ancoraggio dovranno essere conformi alle norme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D.M. 09.01.1996 e successivi aggiornamenti emanate in applicazione dell'art. 21 della Legge 5/11/1971</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 1086.</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dispositivo di bloccaggio dovranno essere conformi alle disposizioni dell'allegato “B” della Circolare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Ministero LL.PP. 30/06/1980 ed eventuali successivi aggiornamenti.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armature (fili, barre, trefoli) e i dispositivi di bloccaggio, al momento del loro arrivo in cantiere dovranno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corredati della certificazione d'origine riferita ad ogni loro componente. Qualora così non fosse,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fornitura non verrà accettata ed immediatamente allontanata, a cura e spese dell'Appaltatore, dal cantiere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stesso.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corso d'opera si eseguiranno controlli sui tiranti, prelevando anche campioni di guaina protettiva (se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prevista in acciaio) e di piastre, nella misura di un prelievo per ogni fornitura giunta in cantiere.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Trefoli tipo c.a.p.</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acciai per armature da precompressione devono possedere proprietà meccaniche garantite dal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produttore non inferiori a quelle di seguito riportate ed in conformità al D.M. in vigore (D.M.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17/01/2018)</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drawing>
          <wp:anchor behindDoc="1" distT="0" distB="0" distL="0" distR="0" simplePos="0" locked="0" layoutInCell="1" allowOverlap="1" relativeHeight="7">
            <wp:simplePos x="0" y="0"/>
            <wp:positionH relativeFrom="page">
              <wp:posOffset>847725</wp:posOffset>
            </wp:positionH>
            <wp:positionV relativeFrom="page">
              <wp:posOffset>4400550</wp:posOffset>
            </wp:positionV>
            <wp:extent cx="4638675" cy="1363980"/>
            <wp:effectExtent l="0" t="0" r="0" b="0"/>
            <wp:wrapNone/>
            <wp:docPr id="25" name="Immagine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52" descr=""/>
                    <pic:cNvPicPr>
                      <a:picLocks noChangeAspect="1" noChangeArrowheads="1"/>
                    </pic:cNvPicPr>
                  </pic:nvPicPr>
                  <pic:blipFill>
                    <a:blip r:embed="rId26"/>
                    <a:stretch>
                      <a:fillRect/>
                    </a:stretch>
                  </pic:blipFill>
                  <pic:spPr bwMode="auto">
                    <a:xfrm>
                      <a:off x="0" y="0"/>
                      <a:ext cx="4638675" cy="1363980"/>
                    </a:xfrm>
                    <a:prstGeom prst="rect">
                      <a:avLst/>
                    </a:prstGeom>
                  </pic:spPr>
                </pic:pic>
              </a:graphicData>
            </a:graphic>
          </wp:anchor>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produttore dovrà controllare la composizione chimica e la struttura metallografia al fine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garantire le proprietà meccaniche prescritte.Si utilizzeranno trefoli 6/10" in acciaio liscio.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conseguenza le tensioni ammissibili sono: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drawing>
          <wp:anchor behindDoc="1" distT="0" distB="0" distL="0" distR="0" simplePos="0" locked="0" layoutInCell="1" allowOverlap="1" relativeHeight="8">
            <wp:simplePos x="0" y="0"/>
            <wp:positionH relativeFrom="page">
              <wp:posOffset>857250</wp:posOffset>
            </wp:positionH>
            <wp:positionV relativeFrom="page">
              <wp:posOffset>6438900</wp:posOffset>
            </wp:positionV>
            <wp:extent cx="1857375" cy="342900"/>
            <wp:effectExtent l="0" t="0" r="0" b="0"/>
            <wp:wrapNone/>
            <wp:docPr id="26" name="Immagine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53" descr=""/>
                    <pic:cNvPicPr>
                      <a:picLocks noChangeAspect="1" noChangeArrowheads="1"/>
                    </pic:cNvPicPr>
                  </pic:nvPicPr>
                  <pic:blipFill>
                    <a:blip r:embed="rId27"/>
                    <a:stretch>
                      <a:fillRect/>
                    </a:stretch>
                  </pic:blipFill>
                  <pic:spPr bwMode="auto">
                    <a:xfrm>
                      <a:off x="0" y="0"/>
                      <a:ext cx="1857375" cy="342900"/>
                    </a:xfrm>
                    <a:prstGeom prst="rect">
                      <a:avLst/>
                    </a:prstGeom>
                  </pic:spPr>
                </pic:pic>
              </a:graphicData>
            </a:graphic>
          </wp:anchor>
        </w:drawing>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Barre - Barre in acciai speciali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barre saranno del tipo in acciaio speciale ed a filettatura continua (Dywidag o simili).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di tali acciai dovranno essere certificate dal produttore, e verificate a norma dei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regolamenti già richiamati.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Dispositivi di bloccaggio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dispositivi di bloccaggio dei tiranti a trefoli dovranno essere conformi alle disposizioni dell'Allegato "B"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Circolare Ministeriale LL.PP. 30 giugno 1980 ed eventuali successivi aggiornamenti; per i bulloni si farà invece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riferimento al D.M. del 9 gennaio 1996.</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Piastre di ripartizione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 adotteranno piastre di ripartizione le cui dimensioni dovranno essere scelte in relazione alle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geometriche e di portata dei tiranti ed alle caratteristiche di resistenza e deformabilità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materiale di contrasto.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MISCELE DI INIEZIONE: COMPOSIZIONE E CONTROLLI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miscele da impiegare dovrà essere presentato alla Direzione Lavori, per riceverne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l'approvazione, uno studio preliminare riportante le modalità di confezione, miscelazione ed 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miscela stessa e comprovante l'effettiva corrispondenza a quanto previsto nel presente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Capitolato Speciale.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mancata presentazione della documentazione preliminare comporta la non autorizzazione all'inizio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esecuzione dei lavori. Non verranno accettate eventuali lavorazioni svolte prima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dell'approvazione delle modalità esecutive.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Miscele tipo a base di cemento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Saranno usate miscele a base di cemento, con rapporto acqua/cemento inferiore o uguale a 0.5.</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riferimento alla Norma UNI EN 197/1 il cemento potrà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del tipo II 32,5 N, 32,5 R, 42,5 N o 42,5 R in presenza di ambiente non aggressivo;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del tipo III A 32,5 R o 42,5 R oppure IV A 32,5 R o 42,5R in presenza di ambiente aggressivo;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sono ammessi cementi di tipo I 52,5 N o 52,5 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ammesso l’eventuale impiego di filler calcareo o siliceo con rapporto non superiore al 30% sul peso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filler dovrà presentare un residuo al setaccio n. 37 della serie UNI n. 2332 (apertura 0,075 mm) inferiore 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3% in peso.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Sono ammessi additivi che hanno un contenuto totale di cloruri, solfuri e nitrati inferiore allo 0.1% in peso.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additivi non dovranno essere aeranti e dovranno essere conformi alle norme UNI 7101- 7120 UNI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8145 e EN 934 part 2, EN 480 parte 1-12.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miscela, confezionata con i cementi precedentemente menzionati, dovrà presentare i seguenti requisiti,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periodicamente controllati durante le lavorazioni: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peso specifico della miscela che non potrà discostarsi per più del 2% da quello ottimale definito in sede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progettuale;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fluidità MARSH da 40" a 50";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decantazione &lt; 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resistenza minima richiesta dovrà essere superiore a 25 Mpa, valutata con prova a compressione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monoassiale, su campioni cilindrici di altezza pari a due volte il diametro semplice o pari a 30 Mpa su cubetti.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Miscele cementizie premiscelate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si verificasse l'esigenza di ottenere resistenze elevate alle brevissime od alle brevi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stagionature (1 d, 3 d o 7 d), anche in presenza di temperature minori di 5 °C, oppure in casi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particolari in cui si verifichino critiche condizioni al contorno (acque di falda in condizioni dinamiche;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terreni fortemente assorbenti, che possono ostacolare la connessione del tirante e provocare lo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sfilamento dello stesso in fase di tesatura; eccezionale aggressività ambientale ecc.), 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potrà ordinare all'Appaltatore l'utilizzo di malte cementizie premiscelate con granulometria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dell'eventuale inerte non superiore a 0,3 mm formate da leganti solfato resistenti, additivi superfluidificanti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ed espansivi.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miscela confezionata con boiacca premiscelata è in genere caratterizzata da un rapporto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acqua/sostanza secca molto basso (0,20-0,25). Essa dovrà presentare i seguenti requisiti minimi, salvo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diverse disposizioni indicate in Progetto o prescritte durante la fase esecutiva, da controllarsi periodicamente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durante le lavorazioni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peso specifico della miscela che non potrà discostarsi per più del 3% da quello ottimale definito in sede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progettuale;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fluidità MARSH da 40" a 50";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decantazione &lt; 1%;</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resistenza a flessione: a 1 giorno &gt; 5 MPa; a 7 giorni &gt; 9 MPa; a 28 giorni &gt; 10 MPa;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resistenza cubica a compressione: a 1 giorno &gt; 30 MPa; a 7 giorni &gt; 50 MPa; a 28 giorni &gt; 60 Mpa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Frequenza e modalità dei controlli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miscela dovrà essere perfettamente omogenea: a questo scopo dovrà essere confezionata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mediante mescolatori ad alta velocità di rotazione (&gt; 20 giri/s) o a ciclone.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sulla miscela “fresca”, cioè la misura del peso specifico, la prova di fluidità e la prova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decantazione, dovranno essere eseguite sistematicamente all'inizio di ciascuna giornata lavorativa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essere in ogni caso ripetute secondo necessità a semplice richiesta della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in occasione di tali controlli, anche solo una delle tre due prove non fornisse risultati conformi a quanto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prescritto, le iniezioni devono essere sospese e potranno riprendere solo dopo la confezione di una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nuova miscela dalle idonee caratteristiche.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apparecchiature, necessarie alla esecuzione delle prove sulla miscela di iniezione fresca, dovranno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a disposizione in cantiere durante le lavorazioni.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Relativamente alle loro caratteristiche e alle modalità di esecuzione delle prove corrispondenti si farà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riferimento a quanto indicato a seguire nel presente Capitolato Speciale.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il controllo della resistenza cubica a compressione della miscela i prelievi saranno fatti secondo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frequenza richiesta dalla Direzione Lavori e comunque almeno una volta alla settimana. Per ogni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prelievo si dovrà provvedere alla confezione di almeno tre coppie di provini.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prove per il controllo della resistenza delle miscele utilizzate dovranno essere eseguite presso Laboratori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Ufficiali.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PROTEZIONE DELL'ARMATURA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protezione dell’armatura è realizzata mediante guaine e tubi di materiale plastico o anche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mediante tubi di acciaio.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Guaine e tubi in plastica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tiranti temporanei la protezione consisterà in una guaina di PVC, polietilene o polipropilene, che avvolge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tratto libero.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tiranti permanenti la protezione sarà costituita da una guaina in PVC, polietilene o polipropilene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estesa a tutta la lunghezza del tirante. In corrispondenza del tratto libero la guaina è normalmente prevista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PVC flessibile, liscia. In corrispondenza del tratto di fondazione la guaina è normalmente in PVC rigido,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w:t>
      </w:r>
      <w:r>
        <w:rPr>
          <w:rFonts w:cs="Calibri" w:ascii="Calibri" w:hAnsi="Calibri" w:asciiTheme="minorHAnsi" w:cstheme="minorHAnsi" w:hAnsiTheme="minorHAnsi"/>
          <w:sz w:val="18"/>
          <w:szCs w:val="18"/>
        </w:rPr>
        <w:t>grecata”.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Lo spessore della guaina non dovrà essere inferiore a 1,5 mm e dovrà garantire contro lacerazioni in tutte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fasi di lavorazione e posa ed in presenza delle sollecitazioni meccaniche e chimiche previste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esercizio.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sezione interna della guaina dovrà essere pari ad almeno quattro volte la sezione trasversale complessiva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armature (trefoli o barre) contenute e dovrà comunque assicurare uno spessore di iniezione per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ricoprimento degli elementi più esterni dell'armatura di almeno 10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le guaine corrugate dovrà risultare una distanza tra due nervature successive &gt; 5 mm ed una differenza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 i diametri interni, maggiore e minore, superiore a 8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Ciascun trefolo o barra dovrà essere ulteriormente protetto: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da una guaina individuale in PVC, polietilene o polipropilene nella parte libera;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da un’eventuale verniciatura in resina epossidica elasticizzata nel tratto di fondazione.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Gli spazi residui tra guaina e pareti del perforo e tra armatura e guaina dovranno essere riempiti con miscela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cementizia.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Tubi d’acciaio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protezione dei tiranti permanenti può essere costituita anche da una guaina rigida in tubi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acciaio che riveste l’armatura su tutta la loro lunghezza. In ambiente aggressivo la guaina sarà rivestita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resina epossidica elasticizzata.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giunzioni tra i diversi spezzoni di tubo saranno ottenute mediante manicotti saldati o filettati. Nel tratto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fondazione i tubi saranno dotati di valvole per l'iniezione, secondo le indicazioni di Progetto,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dovranno essere scovolati internamente dopo l'esecuzione dei fori di uscita della miscela, allo scopo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asportare le sbavature lasciate dal trapano.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valvole saranno costituite da manicotti di gomma di spessore minimo 3,5 mm, aderenti al tubo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mantenuti in posto mediante anelli di filo di acciaio (diametro 4 mm) saldati al tubo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corrispondenza dei bordi del manicotto.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valvola più bassa sarà posta subito sopra il fondello che occlude la base del tubo.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tubo guaina dovrà essere dotato di distanziatori non metallici, posizionati di preferenza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corrispondenza dei manicotti di giunzione, per assicurare la centratura all'interno del perforo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quindi la protezione esterna del tubo mediante uno spessore uniforme di miscela cementizia.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sezione interna del tubo guaina dovrà essere tale da consentire l'alloggiamento dei trefoli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provvisti di distanziatori, in conformità a quanto previsto dalle presenti Norme.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DISTANZIATORI, TAMPONI E CONDOTTI DI 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distanziatori avranno lo scopo di disporre l'armatura di ancoraggio nel foro di alloggiamento in modo 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sia garantito il ricoprimento dell'acciaio da parte della miscela di 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forma dei distanziatori dovrà quindi essere tale da consentire il centraggio dell'armatura nel foro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alloggiamento durante tutte le fasi di manipolazione e nello stesso tempo non dovrà ostacolare il passaggio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miscela; in ogni caso in corrispondenza del distanziatore la sezione libera di foro deve essere pari ad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almeno due volte la sezione del condotto di 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distanziatori dovranno essere realizzati in materiali non metallici di resistenza adeguata agli sforzi 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devono sopportare ed essere disposti a intervalli non superiori a 5 m nel tratto libero; nel tratto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fondazione saranno intercalati da legature e disposti a interassi di 2,0÷2,5 m in modo da dare al fascio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trefoli una conformazione a ventri e nodi.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armature costituite da barre i distanziatori non saranno alternati a legature.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tamponi di separazione fra la parte libera e la fondazione dovranno essere impermeabili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 e tali da resistere alle pressioni di 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tamponi dovranno essere realizzati o con elementi meccanici o con elementi chimici (materiale iniettato)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aventi caratteristiche tali da garantire l'armatura dalla corrosione.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caratteristiche dei condotti di iniezione da impiegare dovranno essere tali da soddisfare 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seguenti requisiti: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avere resistenza adeguata alle pressioni di iniezione risultando cioè garantiti per resistere alla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prevista con un coefficiente di sicurezza pari ad 1,5 e comunque avere una pressione di rottura non inferiore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10 bar;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avere diametro interno non inferiore a 10 mm nel caso in cui non siano presenti aggregati, non inferiore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16 mm in caso contrario; ciò al fine di consentire il passaggio della miscela d'iniezione.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sia richiesta l’iniezione ripetuta in pressione, il tirante dovrà essere equipaggiato con un condotto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assiale d’iniezione, opportunamente dotato di valvole a manicotto, di diametro interno adeguato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consentire il passaggio del doppio otturatore (non inferiore a 25 mm) e di resistenza adeguata a sopportare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l’elevata pressione di apertura delle valvole a manicotto (pressione di rottura non inferiore a 8 MPa).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ELEMENTI DI PROTEZIONE DELL'ARMATURA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protezione di base del tirante nel terreno è costituita dal corretto riempimento di ogni suo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elemento mediante la miscela d’iniezione, che deve garantire su ogni elemento una copertura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minima di 10 mm verso la parete del foro di alloggiamento.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relazione poi all’aggressività dell'ambiente e alla durata di Progetto del tirante, il tirante stesso deve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munito di ulteriori elementi di protezione.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linea con quanto già detto al paragrafo 14.0, sono ammesse le seguenti due classi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protezione: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classe 1, per tiranti temporanei, in ambiente aggressivo e non aggressivo, per un periodo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esercizio inferiore a ventiquattro mesi;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classe 2, per tiranti permanenti, in ambiente aggressivo e non aggressivo, per un periodo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esercizio uguale o comunque superiore a ventiquattro mesi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classe 1 è richiesto: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per il tratto vincolato la semplice protezione di ciascuna armatura mediante la già indicata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copertura minima di 10 mm verso la parete del foro (salvo valutare ulteriori protezioni in caso di ambiente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aggressivo);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 per il tratto libero una guaina di plastica per ogni singola armatura, sigillata contro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penetrazione dell’acqua o riempita di un prodotto anticorrosione; la guaina può essere comune a tutte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armature e in questo caso può essere di plastica, ma anche di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classe 2 è richiesto invece una doppia protezione che può essere realizzata: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per il tratto vincolato ad esempio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a.1 – un tubo corrugato di plastica, contenente l’armatura, preiniettato con miscela cementizia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(copertura minima di 5 mm tra tubo ed armatura; larghezza delle fessure nella miscela tra tubo ed armatura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superiore a 0,1 mm sotto il tiro di esercizio); il tubo avrà uno spessore di 1-2 mm a seconda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diametro e sarà a sua volta ricoperto da uno spessore di almeno 10 mm di miscela cementizia verso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parete del foro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pag.161</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a.2 – un tubo corrugato di plastica o un tubo di acciaio, contenente l’armatura (copertura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minima di 5 mm tra tubo ed armatura), munito di valvole a manicotto (spessore minimo 3 mm); il tubo sarà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ricoperto da uno spessore di almeno 20 mm di miscela cementizia iniettata in pressione attraverso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valvole (pressione minima di 0,5 MPa; larghezza delle fessure nella miscela non superiore a 0,2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sotto il tiro di esercizio).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 per il tratto libero ad esempio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b.1 – una guaina di plastica per ciascuna armatura (riempita di composto protettivo lubrificante),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una guaina plastica comune per tutte le armature, riempita con prodotto anticorrosione molle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 cementizia;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b.2 - una guaina di plastica per ciascuna armatura (riempita di composto protettivo lubrificante),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un tubo d’acciaio comune per tutte le armature, riempito con miscela cementizia.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i sistemi di protezione anticorrosione è previsto che venga eseguita almeno una prova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sistema per verificarne l’ammissibilità. Il tipo di prova da realizzare per ogni sistema di tirante deve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approvato dalla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facoltà della Direzione Lavori di richiedere la prova elettrica della protezione anticorrosione, cioè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misurazione dell’ isolamento elettrico tra un tirante e il terreno circostante o la struttura.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modalità di prova sono illustrate nell’Appendice A della Norma UNI 1537.</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TOLLERANZE GEOMETRICHE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tolleranze ammesse nella realizzazione dei fori di alloggiamento dei tiranti sono le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il diametro dell'utensile di perforazione dovrà risultare non inferiore al diametro di Progetto e non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superiore del 10% di tale diametro;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la lunghezza totale di perforazione dovrà risultare conforme al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la variazione di inclinazione e di direzione azimutale non dovrà essere maggiore di ±2°;</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la posizione della testa foro (intersezione dell’asse del tirante con il piano d’intestazione) non dovrà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discostarsi più di 10 cm dalla posizione di Progetto.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lunghezza totale dell'armatura e la lunghezza del tratto attivo, posizionato nella parte terminale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perforazione, dovranno risultare conformi alle indicazioni progettuali.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PERFORAZIONI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ATTREZZATURE DI PERFOERAZIONE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attrezzature di perforazione dovranno rispondere ai requisiti richiesti dalle norme EN 791 e EN 996.</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pompe di alimentazione del fluido di circolazione dovranno assicurare le opportune portate e pressioni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richieste dalla metodologia di perforazione adottata.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METODOLOGIE DI PERFORAZIONE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perforazione potrà essere eseguita a rotazione o a rotopercussione, in materie di qualsiasi natura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consistenza, compreso calcestruzzi, murature, trovanti e/o roccia dura, anche in presenza di acqua.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perforo potrà essere eseguito a qualsiasi altezza e l'Appaltatore dovrà provvedere ad eseguire idonei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ponteggi ed impalcature.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foro dovrà essere rivestito mediante rivestimenti tubolari metallici provvisori nel caso che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terreno sia rigonfiante o non abbia coesione sufficiente ad assicurare la stabilità delle pareti del foro durante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dopo la posa delle armature.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fluido di perforazione potrà essere acqua, aria, una miscela di entrambe eventualmente additivata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tensioattivi (schiume). Per perforazioni in terreni sciolti, in alternativa al rivestimento provvisorio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foro, è anche ammesso l’uso di fanghi polimerici, purché biodegradabili, e di miscele cementizie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opportuna densità. L'impiego di aria non è consentito in terreni incoerenti sotto falda.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Quando sia previsto dal Progetto e sia compatibile con la natura dei terreni, si potranno eseguire, mediante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l'impiego di appositi utensili allargatori, delle scampanature di diametro noto, regolarmente intervallate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lungo la fondazione del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base alle indicazioni emerse nel corso della esecuzione dei tiranti preliminari di prova,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presenza di falde artesiane o quando la testa del foro si trovi a livello inferiore rispetto alla falda freatica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terreni particolarmente permeabili, dovranno essere messe in atto tutte le opportune precauzioni 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fine di evitare fenomeni di espulsione incontrollata di materiale da bocca-foro ed il successivo dilavamento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delle miscele durante la formazione del fusto del tirante. L'Appaltatore dovrà provvedere a sua cura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spese, a preventive iniezioni di intasamento che si rendessero necessarie all'interno del foro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miscele e modalità approvate dalla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un tirante ogni 50, e comunque su almeno un tirante se il numero totale dei tiranti risulta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inferiore a 50, dovrà essere eseguita una ricostruzione stratigrafica qualitativa in funzione delle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informazioni ricavate dalla velocità di avanzamento degli utensili di perforazione impiegati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dall’osservazione dei materiali di risulta.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ricostruzione stratigrafica, la quale dovrà essere eseguita in contraddittorio tra impresa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personale tecnico della Direzione Lavori, è finalizzata alla conferma delle ipotesi avanzate in fase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dimensionamento in merito alla natura geologica-geotecnica delle formazioni che saranno coinvolte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 realizzazione dei bulbi di fondazione dei tiranti.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sonde di perforazione impiegate per la realizzazione dei “tiranti geognostici” dovranno essere attrezzate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 un sistema di registrazione automatica computerizzata per il rilievo, la registrazione, l’elaborazione e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restituzione in continuo dei seguenti parametri (DAC test):</w:t>
      </w:r>
    </w:p>
    <w:p>
      <w:pPr>
        <w:pStyle w:val="PlainText"/>
        <w:numPr>
          <w:ilvl w:val="0"/>
          <w:numId w:val="2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profondità di perforazione</w:t>
      </w:r>
    </w:p>
    <w:p>
      <w:pPr>
        <w:pStyle w:val="PlainText"/>
        <w:numPr>
          <w:ilvl w:val="0"/>
          <w:numId w:val="2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velocità di perforazione</w:t>
      </w:r>
    </w:p>
    <w:p>
      <w:pPr>
        <w:pStyle w:val="PlainText"/>
        <w:numPr>
          <w:ilvl w:val="0"/>
          <w:numId w:val="2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velocità di rotazione in fase di perforazione</w:t>
      </w:r>
    </w:p>
    <w:p>
      <w:pPr>
        <w:pStyle w:val="PlainText"/>
        <w:numPr>
          <w:ilvl w:val="0"/>
          <w:numId w:val="2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spinta in fase di perforazione</w:t>
      </w:r>
    </w:p>
    <w:p>
      <w:pPr>
        <w:pStyle w:val="PlainText"/>
        <w:numPr>
          <w:ilvl w:val="0"/>
          <w:numId w:val="2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portata del fluido di perforazione</w:t>
      </w:r>
    </w:p>
    <w:p>
      <w:pPr>
        <w:pStyle w:val="PlainText"/>
        <w:numPr>
          <w:ilvl w:val="0"/>
          <w:numId w:val="2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pressione del fluido di perforazione</w:t>
      </w:r>
    </w:p>
    <w:p>
      <w:pPr>
        <w:pStyle w:val="PlainText"/>
        <w:numPr>
          <w:ilvl w:val="0"/>
          <w:numId w:val="27"/>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energia specifica.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risultanze (grafici e dati numerici) dei DAC test dovranno essere tempestivamente trasmesse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Direzione Lavori, in forma cartacea e su supporto informatico.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Qualora le risultanze stratigrafiche ed i diagrammi dei DAC test rivelassero formazioni “peggiori” di quelle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ipotizzate in fase di dimensionamento, si dovrà dare evidenze al Progettista per le valutazioni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caso.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ASSEMBLAGGIO E POSA DELLE ARMATURE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l'impiego di armature a trefoli (di norma in acciaio controllato in stabilimento con fili aventi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tensione caratteristica al limite elastico convenzionale dello 0,1% fp(1)k &gt; 1670 MPa e tensione caratteristica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rottura fptk &gt; 1860 MPa) gli elementi costitutivi dell'ancoraggio dovranno essere preferibilmente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confezionati in stabilimento e pervenire in cantiere già arrotolati e inguainati, salvo eventualmente il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dispositivo di bloccaggio che potrà essere montato in cantiere.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Ove, per particolari motivi, fosse necessario effettuare l'assemblaggio degli elementi costitutivi degli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ancoraggi in cantiere, dovrà essere predisposta a cura e spese dell'Appaltatore, ed in prossimità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luogo di impiego, una adeguata attrezzatura per confezionare correttamente gli ancoraggi stessi.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tal caso i componenti ed in particolare l'acciaio, dovranno essere immagazzinati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convenientemente, possibilmente al coperto, in modo che non subiscano danneggiamenti durante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giacenza. Dovrà essere inoltre accuratamente evitato il contatto con il terreno o altri materiali che possono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danneggiare l'ancoraggio.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Pertanto la confezione degli ancoraggi dovrà avvenire sempre su apposito banco e non a terra. La confezione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degli ancoraggi dovrà essere affidata a personale esperto e consisterà nelle seguenti fasi principali:</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taglio dei trefoli a misura;</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interposizione dei distanziatori interni ai trefoli;</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montaggio dei condotti di iniezione;</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infilaggio delle guaine su tutta la lunghezza dell'ancoraggio o sulla parte libera dello stesso;</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esecuzione del tampone di separazione tra la fondazione e la parte libera dell'ancoraggio;</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montaggio degli eventuali distanziatori, necessari al centraggio dell'ancoraggio nel foro di</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alloggiamento;</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eventuale montaggio del dispositivo di bloccaggio nei casi in cui questa operazione sia prevista prima</w:t>
      </w:r>
    </w:p>
    <w:p>
      <w:pPr>
        <w:pStyle w:val="PlainText"/>
        <w:ind w:left="567"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dell'infilaggio dell'ancoraggio nel foro;</w:t>
      </w:r>
    </w:p>
    <w:p>
      <w:pPr>
        <w:pStyle w:val="PlainText"/>
        <w:numPr>
          <w:ilvl w:val="0"/>
          <w:numId w:val="23"/>
        </w:numPr>
        <w:ind w:left="567"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accurata sigillatura di tutte le giunzioni per evitare le perdite di impermeabilità della guaina.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l'impiego di ancoraggi con armature a barre o tubolari, nei quali l'assemblaggio è fatto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opera, le operazioni di assemblaggio dovranno essere eseguite da personale esperto ed essere effettuate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via via che la barra viene infilata nel foro avendo cura che il collegamento dei vari tronchi,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mediante manicotti di giunzione, avvenga secondo le modalità previste dal costruttore e che parallelamente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sigillature della eventuale guaina siano accuratamente eseguite.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posa in opera delle armature dovrà avvenire secondo modalità approvate dalla Direzione Lavori che 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assicurino il corretto posizionamento e l'efficacia della connessione al terreno.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trefoli o barre ed i condotti d’iniezione dovranno fuoriuscire a bocca-foro per un tratto adeguato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consentire le successive operazioni di iniezione e di tesatura.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CONNESSIONE AL TERRENO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connessione del tirante al terreno è realizzata mediante la posa in opera (iniezione)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 d’iniezione. Questa avviene in fasi successive a seconda del tipo di tirante:</w:t>
      </w:r>
    </w:p>
    <w:p>
      <w:pPr>
        <w:pStyle w:val="PlainText"/>
        <w:numPr>
          <w:ilvl w:val="0"/>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semplice o di prima fase</w:t>
      </w:r>
    </w:p>
    <w:p>
      <w:pPr>
        <w:pStyle w:val="PlainText"/>
        <w:numPr>
          <w:ilvl w:val="0"/>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riempimento dei dispositivi di separazione e protezione interni del tirante (sacco otturatore e</w:t>
      </w:r>
    </w:p>
    <w:p>
      <w:pPr>
        <w:pStyle w:val="PlainText"/>
        <w:numPr>
          <w:ilvl w:val="0"/>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tampone interno, ove non prefabbricato)</w:t>
      </w:r>
    </w:p>
    <w:p>
      <w:pPr>
        <w:pStyle w:val="PlainText"/>
        <w:numPr>
          <w:ilvl w:val="0"/>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selettiva ripetuta in pressione</w:t>
      </w:r>
    </w:p>
    <w:p>
      <w:pPr>
        <w:pStyle w:val="PlainText"/>
        <w:numPr>
          <w:ilvl w:val="0"/>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di riempimento del tratto libero del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fasi d’iniezione saranno effettuate in accordo a quanto previsto successivamente.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semplice o di prima fase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L’iniezione semplice o di prima fase consiste nel riempimento, per tutta la lunghezza del foro, dello spazio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 la struttura del tirante e le pareti del foro stesso. Essa viene di norma eseguita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immediatamente dopo la posa in opera del tirante, ma può essere eseguita anche immediatamente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prima della posa del tirante, quando questa procedura possa costituire un’ulteriore garanzia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stabilità del foro e dell’agevole introduzione del tirante in esso.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riempimento sarà fatto con la miscela precedentemente descritta e, per i tiranti permanenti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trefoli, interesserà oltre all’intercapedine tra la guaina ed il foro, anche tutto lo spazio tra l'eventuale guaina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corrugata e l'armatura lungo la fondazione del tirante. Tale spazio dovrà essere collegato alla bocca del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foro da un tubetto di sfiato che consenta la fuoriuscita di tutta l'aria contenuta e l'iniezione dovrà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essere proseguita fino alla fuoriuscita della miscela dal tubetto di sfiato.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L'iniezione semplice è adatta :</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in terreni di granulometria grossolana (ghiaie, ciottoli) nei quali una porzione rilevante della malta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iniettata va a compenetrare il terreno intorno al foro;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in rocce lapidee ed in terreni coesivi mediamente compatti, congiunta eventualmente alla tecnica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perforazione con allargatori.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questi tipi di terreno l’iniezione semplice è normalmente sufficiente ad assicurare le prestazioni del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(cioè la sua resistenza esterna intesa come resistenza a trazione all’interfaccia tra fondazione 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terreno), mentre in terreni di caratteristiche diverse si rende necessaria l’iniezione ripetuta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riempimento dello spazio tra struttura del tirante e foro, e quindi anche dell'intercapedine tra foro e guaina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parte libera, sarà assicurato immettendo la miscela nel punto più profondo del foro tramite gli appositi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condotti ed osservando che essa risalga fino a boccaforo e vi permanga finché interviene la presa: ove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occorra si provvederà a riprese dell'iniezione o a rabbocchi per ottenere che la condizione di riempimento sia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rispettata.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ripetuta in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 la struttura del tirante prevede la presenza di un sacco otturatore per l’ulteriore separazione tra tratto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libero e tratto vincolato (fondazione) del tirante, l’iniezione di riempimento del sacco viene di norma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eseguita prima dell’iniezione ripetuta in pressione, attraverso le valvole del condotto d’iniezione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assiale, che intercettano il sacco. L’iniezione deve essere condotta lentamente ed a bassa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(non superiore a 0,5 MPa) per evitare di lacerare il sacco.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L’iniezione ripetuta in pressione consente di ottenere la resistenza esterna richiesta al tirante in terreni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qualunque natura, caratterizzati da un modulo di deformazione a breve termine sensibilmente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inferiore a 500 MPa. L'iniezione di quantità controllate della miscela cementizia in più fasi successive, fino ad</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ottenere pressioni di iniezione residue di 0,8-1,5 MPa, dovrà avere lo scopo di ottenere una serie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sbulbature lungo la fondazione del tirante e ad instaurare nel terreno circostante un campo tensionale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compressione, favorevole alla mobilitazione di elevate resistenze al taglio per attrito.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L'iniezione in pressione avverrà tramite un tubo a perdere dotato di valvole di non ritorno 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manicotto, regolarmente intervallate a 50 cm di interasse lungo il tratto di fondazione del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tubo potrà essere disposto:</w:t>
      </w:r>
    </w:p>
    <w:p>
      <w:pPr>
        <w:pStyle w:val="PlainText"/>
        <w:numPr>
          <w:ilvl w:val="0"/>
          <w:numId w:val="23"/>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coassialmente all'armatura ed avere diametro adeguato nel caso di tiranti senza guaina lungo la</w:t>
      </w:r>
    </w:p>
    <w:p>
      <w:pPr>
        <w:pStyle w:val="PlainText"/>
        <w:ind w:left="709"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fondazione;</w:t>
      </w:r>
    </w:p>
    <w:p>
      <w:pPr>
        <w:pStyle w:val="PlainText"/>
        <w:numPr>
          <w:ilvl w:val="0"/>
          <w:numId w:val="28"/>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esterno all'armatura, in acciaio, posto in opera preventivamente alla posa dell'armatura;</w:t>
      </w:r>
    </w:p>
    <w:p>
      <w:pPr>
        <w:pStyle w:val="PlainText"/>
        <w:numPr>
          <w:ilvl w:val="0"/>
          <w:numId w:val="28"/>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coassiale all'armatura, ma interno alla guaina grecata di protezione e dotato di valvole che</w:t>
      </w:r>
    </w:p>
    <w:p>
      <w:pPr>
        <w:pStyle w:val="PlainText"/>
        <w:ind w:left="709" w:hanging="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sboccano all'esterno di essa per la formazione delle sbulbature nel terreno; altre valvole, interne alla guaina,</w:t>
      </w:r>
    </w:p>
    <w:p>
      <w:pPr>
        <w:pStyle w:val="PlainText"/>
        <w:numPr>
          <w:ilvl w:val="0"/>
          <w:numId w:val="28"/>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servono per il riempimento dell'intercapedine guaina/armatura.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fasi dell'iniezione saranno le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Riempimento della cavità a ridosso delle pareti della perforazione, ottenuta alimentando la miscela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dalla valvola più profonda in modo da ottenere la risalita fino alla bocca del foro (iniezione di prima fase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cui al paragrafo 14.7.1). Al termine si effettuerà un lavaggio con acqua all'interno del tubo a valvole per</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renderlo agibile per le successive fasi d’iniezione.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II) Avvenuta la presa della malta precedentemente posta in opera, si inietteranno valvola per valvola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(isolando ciascuna valvola mediante un otturatore doppio) volumi di miscela non eccedenti le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quantità: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Diametro foro (mm) Volume max (l/valvola)</w:t>
      </w:r>
    </w:p>
    <w:p>
      <w:pPr>
        <w:pStyle w:val="PlainText"/>
        <w:numPr>
          <w:ilvl w:val="0"/>
          <w:numId w:val="28"/>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90 a 120 30,0</w:t>
      </w:r>
    </w:p>
    <w:p>
      <w:pPr>
        <w:pStyle w:val="PlainText"/>
        <w:numPr>
          <w:ilvl w:val="0"/>
          <w:numId w:val="28"/>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121 a 170 45,0</w:t>
      </w:r>
    </w:p>
    <w:p>
      <w:pPr>
        <w:pStyle w:val="PlainText"/>
        <w:numPr>
          <w:ilvl w:val="0"/>
          <w:numId w:val="28"/>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171 a 220 60,0</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Tali iniezioni dovranno essere effettuate senza superare la pressione corrispondente alla fratturazione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idraulica del terreno (claquage).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massima pressione di apertura delle valvole non dovrà superare il limite di 6 MPa. In caso che una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valvola non si apra entro questo limite, la valvola stessa potrà essere abbandonata, salvo diverse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istruzioni impartite dalla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 termine si effettuerà un lavaggio con acqua all'interno del tubo.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III) Avvenuta la presa della miscela precedentemente iniettata, si ripeterà l'iniezione in pressione,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osservando gli stessi limiti di volume, limitatamente alle valvole per le quali, nella fase II):</w:t>
      </w:r>
    </w:p>
    <w:p>
      <w:pPr>
        <w:pStyle w:val="PlainText"/>
        <w:numPr>
          <w:ilvl w:val="0"/>
          <w:numId w:val="28"/>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volume non abbia raggiunto i limiti sopra indicati a causa della incipiente fratturazione idraulica</w:t>
      </w:r>
    </w:p>
    <w:p>
      <w:pPr>
        <w:pStyle w:val="PlainText"/>
        <w:numPr>
          <w:ilvl w:val="0"/>
          <w:numId w:val="2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 terreno;</w:t>
      </w:r>
    </w:p>
    <w:p>
      <w:pPr>
        <w:pStyle w:val="PlainText"/>
        <w:numPr>
          <w:ilvl w:val="0"/>
          <w:numId w:val="2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pressioni residue di iniezione misurate a bocca foro al raggiungimento del limite volumetrico non</w:t>
      </w:r>
    </w:p>
    <w:p>
      <w:pPr>
        <w:pStyle w:val="PlainText"/>
        <w:numPr>
          <w:ilvl w:val="0"/>
          <w:numId w:val="2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superino 0,8 MPa.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IV) L'iniezione può essere ripetuta ulteriormente, sempre senza superare i limiti di volume anzidetti e dopo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presa delle iniezioni delle fasi precedenti, qualora ciò risultasse necessario per il raggiungimento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desiderata capacità portante (resistenza esterna) del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 termine delle operazioni di connessione al terreno del tirante si procederà alla posa in opera del dispositivo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bloccaggio, il quale dovrà essere in perfette condizioni e privo di ruggine e di incrostazioni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qualsiasi natura.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in terreni/rocce ad elevata permeabilità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terreni altamente permeabili o in rocce fessurate si potranno verificare perdite incontrollate di miscela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che potrebbero pregiudicare la formazione del tratto vincolato. In tali condizioni, preliminarmente alla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posa del tirante dovranno essere eseguite nel foro prove in sito di permeabilità (prove d’acqua).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 caso che tali prove indicassero, per il tratto ancorato perdite superiori a 5.0 lt/min con pressioni di 0.1</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Mpa, si dovranno attuare misure preventive di riduzione del grado di permeabilità quali preiniezioni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apposite miscele di intasamento.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 seguito di tali operazioni, per la posa in opera del tirante si renderà necessaria la riperforazione del foro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alloggiamento, a cui seguiranno la posa del tirante e le normali iniezioni.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TESATURA E COLLAUDO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Trascorsi ventotto giorni dall'ultima iniezione, o meno, secondo il tipo di miscela, ogni tirante verrà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sottoposto a tesatura di collaudo.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L'inizio delle operazioni di collaudo dovrà essere comunque autorizzato dalla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carico di collaudo (Pc) è pari a 1.2 volte il carico di esercizio (Pes) e comunque non superiore a 0.9 Pt0.1k</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(carico di snervamento dell’ acciaio).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prova di collaudo si eseguirà assegnando dapprima al tirante un carico di riferimento iniziale Po = 0.10 Pc</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misurando la corrispondente posizione delle armature rispetto alla piastra di testata.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tirante dovrà essere caricato fino Pc con almeno tre incrementi uguali. Poi il tirante dovrà essere scaricato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 carico Po e caricato di nuovo al tiro di bloccaggio Pb.</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 carico Pc la durata del periodo di controllo delle deformazioni a carico costante per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definizione della velocità di creep Ks (art 10.3.2.1.2)dovrà essere:</w:t>
      </w:r>
    </w:p>
    <w:p>
      <w:pPr>
        <w:pStyle w:val="PlainText"/>
        <w:numPr>
          <w:ilvl w:val="0"/>
          <w:numId w:val="2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5' per tiranti in roccia o in terreni non coesivi;</w:t>
      </w:r>
    </w:p>
    <w:p>
      <w:pPr>
        <w:pStyle w:val="PlainText"/>
        <w:numPr>
          <w:ilvl w:val="0"/>
          <w:numId w:val="2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15' per tiranti con fondazione in terreni coesivi compatti (coesione non drenata &gt; 0,2 MPa).</w:t>
      </w:r>
    </w:p>
    <w:p>
      <w:pPr>
        <w:pStyle w:val="PlainText"/>
        <w:numPr>
          <w:ilvl w:val="0"/>
          <w:numId w:val="29"/>
        </w:numPr>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30' per tiranti con fondazione in terreni coesivi non compatti (coesione non drenata &lt; 0,2 MPa).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 caso di non raggiunta determinazione della velocità caratteristica di creep, dovranno essere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considerati tempi maggiori di attesa, tali da garantire l’ ottenimento di tale valore.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 accettazione del singolo tirante dovranno essere verificate le seguenti condizioni: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lunghezza libera apparente Lapp come precedentemente indicata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la velocità di creep Ks non superiore a 1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Valori più elevati di Ks potranno comunque essere ammessi se considerati accettabili nelle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precedenti prove preliminari.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 tiranti che non soddisferanno i predetti requisiti di collaudo verranno sostituiti con nuovi tiranti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caratteristiche e posizione concordate con la Direzione Lavori, sentito il Progettista.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Resta inteso che comunque i maggiori oneri che ne deriveranno saranno a totale carico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dell'Appaltatore.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 facoltà della Direzione Lavori accettare diverse modalità di prova, facendo riferimento a quanto previsto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 norma UNI EN 1537.</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Le apparecchiature impiegate dovranno consentire le seguenti precisioni di misurazione: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per gli allungamenti di 0,01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per le forze, del 2% della trazione massima di esercizio (Nes).</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Esse dovranno essere tarate presso un laboratorio Ufficiale; è facoltà della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richiedere la ripetizione della taratura in caso di impieghi prolungati, o ripetuti per più di 50 tiranti, o in caso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 risultati che diano adito a dubbi sulla loro attendibilità.</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OPERAZIONI FINALI E PROTEZIONE DELLA TESTATA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protezione anticorrosiva del tratto libero del tirante sarà completata iniettando all'interno della guaina 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miscela, dopo il completamento delle operazioni di tesatura del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L'iniezione nel tratto libero della miscela cementizia prima della tesatura o di fasi eventuali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ritesatura, potrà avvenire solo per armature costituite da trefoli a sezione compatta, ingrassati e protetti da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guaine individuali in P.V.C., in modo che sia assicurato lo scorrimento tra guaina e trefolo con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minime resistenze.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testa di ancoraggio del tirante il grado di protezione richiesto è diverso a seconda che il tirante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rientri nella classe 1 o nella classe 2. Quanto segue riguarda essenzialmente i tiranti permanenti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(classe 2), ma anche per i tiranti temporanei (classe 1) sarà cura dell’Appaltatore mettere in atto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tutti i provvedimenti perché le teste d’ancoraggio mantengano la loro funzionalità per tutto il tempo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esercizio previsto, anche in vista di eventuali controlli o riprese del tiro dei tiranti.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protezione della testa d’ancoraggio si esplica in due direzioni: la protezione del piccolo tratto d’armatura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immediatamente sotto la piastra di appoggio e la protezione della piastra stessa con i dispositivi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bloccaggio.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prima sarà predisposto un sistema d’iniezione atto a procurare un’efficace estensione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all’ultimo tratto dell’armatura della protezione applicata al tratto libero: normalmente si provvede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iniettando resine o miscele cementizie con additivi antiritiro attraverso condotti appositamente inseriti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nella testa di ancoraggio.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la seconda si applicheranno alla piastra ed agli altri componenti di acciaio della testa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protezioni previste dalla relativa norma EN per il rivestimento delle strutture in acciaio. Inoltre si provvederà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all'incapsulamento della testa mediante calotte o involucri protettivi di polietilene o polipropilene 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anche di acciaio (spessore minimo pari a 2 mm), completi di guarnizione di tenuta.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un periodo non inferiore a centottanta giorni decorrente dalla data della ultimazione delle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operazioni di tesatura di collaudo, le teste di tutti i tiranti dovranno essere lasciate accessibili per le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operazioni di controllo e ripresa di tiro da eseguire rispettivamente a novanta e centottanta giorni dalla data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della tesatura di collaudo, nelle quantità che saranno prescritte dalla Direzione Lavori e comunque non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inferiore al 20% dei tiranti.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Una volta terminati le riprese ed i controlli di tiro, l’interno della calotta sarà riempito con resine o altri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prodotti sigillanti. Infine un getto di calcestruzzo, armato con rete, proteggerà ulteriormente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all’esterno la testa dagli urti e dalle abrasioni.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È facoltà della Direzione Lavori richiedere che il sistema di protezione applicato alla testa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d’ancoraggio sia sottoposto ad una prova preliminare di idoneità secondo le modalità che saranno indicate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dalla Direzione Lavori.</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DOCUMENTAZIONE DEI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 ogni tirante, sia preliminare di prova che di Progetto, dovrà essere compilata dall'Appaltatore, in</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contraddittorio con la Direzione Lavori, una scheda recante le seguenti indicazioni:</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diametro, lunghezza e sistema di perforazione;</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eventuali iniezioni preliminari di intasamento;</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tipo e dimensioni delle armature metalliche;</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lunghezza del tratto attivo;</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quantità di miscela iniettata nelle varie fasi e sua composizione;</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date di perforazione, iniezione e tesatura di collaudo.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Tale scheda dovrà essere riportata su apposito modello e tempestivamente trasmesso dall'Appaltatore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alla Direzione Lavori.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Operativamente, poiché le lavorazioni relative ad ogni singolo tirante si svolgono in fasi successive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distanziate nel tempo, per consentire la tempestiva trasmissione dei dati parziali alla Direzione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Lavori, la scheda citata sarà costituita da almeno tre sezioni concernenti rispettivamente:</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perforazione, posa del tirante ed iniezione di prima fase</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iniezione ripetuta in pressione</w:t>
      </w:r>
    </w:p>
    <w:p>
      <w:pPr>
        <w:pStyle w:val="PlainText"/>
        <w:numPr>
          <w:ilvl w:val="0"/>
          <w:numId w:val="29"/>
        </w:numPr>
        <w:ind w:left="709" w:hanging="360"/>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collaudo e messa in tiro.</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MODALITA' DI ESECUZIONE DELLE PROVE SULLA MISCELA FRESCA</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MISURA DEL PESO SPECIFICO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misura del peso specifico o peso di volume della miscela verrà eseguita in cantiere mediante l’apposita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bilancia Baroid, secondo le modalità delle raccomandazioni API-RP13B, riprese anche in “Appendice” al</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capitolo 6.6 – Micropali del presente Capitolato Speciale.</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MISURA DELLA FLUIDITA'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misura della fluidità o viscosità della miscela verrà eseguita in cantiere mediante il cono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Marsh. L'apparecchio è costituito da un recipiente (imbuto) tronco-conico caratterizzato dalle seguenti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dimensioni: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diametro della base superiore: 152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altezza del tronco di cono: 305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capienza del tronco di cono: 1.500 cm3;</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 base inferiore costituita da un ugello di diametro interno 4,76 mm e di altezza 50,8 mm</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prova viene eseguita riempiendo completamente il cono di miscela (previa filtratura di eventuali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grossolane impurità attraverso l’apposita rete metallica applicata alla base superiore del cono) e misurando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tempo di deflusso di 1.000 cmc in un contenitore graduato sottostante al cono. Il tempo di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deflusso, espresso in secondi, esprime il valore della fluidità o viscosità Marsh.</w:t>
      </w:r>
    </w:p>
    <w:p>
      <w:pPr>
        <w:pStyle w:val="PlainText"/>
        <w:rPr>
          <w:rFonts w:ascii="Calibri" w:hAnsi="Calibri" w:cs="Calibri" w:asciiTheme="minorHAnsi" w:cstheme="minorHAnsi" w:hAnsiTheme="minorHAnsi"/>
          <w:sz w:val="18"/>
          <w:szCs w:val="18"/>
        </w:rPr>
      </w:pPr>
      <w:r>
        <w:rPr>
          <w:rFonts w:cs="Calibri" w:cstheme="minorHAnsi" w:ascii="Calibri" w:hAnsi="Calibri"/>
          <w:sz w:val="18"/>
          <w:szCs w:val="18"/>
        </w:rPr>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MISURA DELLA DECANTAZIONE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La misura della decantazione della miscela verrà eseguita mediante una provetta cilindrica graduata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da 1.000 cm3. La provetta verrà riempita di miscela esattamente al limite di 1.000 cm3 e tenuta in riposo</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al riparo dall’aria. La lettura diretta, ripetuta nel tempo, dell’altezza dell’acqua separatasi in sommità,</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rapportata all’altezza totale iniziale, esprime il valore dell’essudazione in funzione del tempo. Si assume</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convenzionalmente come valore finale dell’essudazione il valore rilevato dopo tre ore dal riempimento della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provetta.</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Il valore dell’essudazione sarà ritenuto accettabile se non sarà superiore ai limiti indicati ai paragrafi</w:t>
      </w:r>
    </w:p>
    <w:p>
      <w:pPr>
        <w:pStyle w:val="PlainText"/>
        <w:rPr>
          <w:rFonts w:ascii="Calibri" w:hAnsi="Calibri" w:cs="Calibri" w:asciiTheme="minorHAnsi" w:cstheme="minorHAnsi" w:hAnsiTheme="minorHAnsi"/>
          <w:sz w:val="18"/>
          <w:szCs w:val="18"/>
        </w:rPr>
      </w:pPr>
      <w:r>
        <w:rPr>
          <w:rFonts w:cs="Calibri" w:ascii="Calibri" w:hAnsi="Calibri" w:asciiTheme="minorHAnsi" w:cstheme="minorHAnsi" w:hAnsiTheme="minorHAnsi"/>
          <w:sz w:val="18"/>
          <w:szCs w:val="18"/>
        </w:rPr>
        <w:t>precedenti per i vari tipi di miscela.</w:t>
      </w:r>
    </w:p>
    <w:sectPr>
      <w:headerReference w:type="default" r:id="rId28"/>
      <w:type w:val="nextPage"/>
      <w:pgSz w:w="11906" w:h="16838"/>
      <w:pgMar w:left="1334" w:right="1335" w:header="708" w:top="1417" w:footer="0" w:bottom="1134" w:gutter="0"/>
      <w:pgNumType w:fmt="decimal"/>
      <w:formProt w:val="false"/>
      <w:titlePg/>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onsolas">
    <w:charset w:val="00"/>
    <w:family w:val="roman"/>
    <w:pitch w:val="variable"/>
  </w:font>
  <w:font w:name="Liberation Sans">
    <w:altName w:val="Arial"/>
    <w:charset w:val="00"/>
    <w:family w:val="roman"/>
    <w:pitch w:val="variable"/>
  </w:font>
  <w:font w:name="Calibri">
    <w:charset w:val="01"/>
    <w:family w:val="swiss"/>
    <w:pitch w:val="variable"/>
  </w:font>
  <w:font w:name="Courier New">
    <w:charset w:val="01"/>
    <w:family w:val="modern"/>
    <w:pitch w:val="fixed"/>
  </w:font>
  <w:font w:name="Wingdings">
    <w:charset w:val="02"/>
    <w:family w:val="auto"/>
    <w:pitch w:val="variable"/>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Intestazione"/>
      <w:rPr>
        <w:sz w:val="20"/>
        <w:szCs w:val="20"/>
      </w:rPr>
    </w:pPr>
    <w:r>
      <w:rPr>
        <w:sz w:val="20"/>
        <w:szCs w:val="20"/>
      </w:rPr>
      <w:t xml:space="preserve">                       </w:t>
    </w:r>
    <w:r>
      <w:rPr/>
      <w:drawing>
        <wp:inline distT="0" distB="0" distL="0" distR="0">
          <wp:extent cx="467360" cy="638175"/>
          <wp:effectExtent l="0" t="0" r="0" b="0"/>
          <wp:docPr id="27" name="Immagine 1"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1" descr="Immagine che contiene testo&#10;&#10;Descrizione generata automaticamente"/>
                  <pic:cNvPicPr>
                    <a:picLocks noChangeAspect="1" noChangeArrowheads="1"/>
                  </pic:cNvPicPr>
                </pic:nvPicPr>
                <pic:blipFill>
                  <a:blip r:embed="rId1"/>
                  <a:srcRect l="-1976" t="-1449" r="-1976" b="-1449"/>
                  <a:stretch>
                    <a:fillRect/>
                  </a:stretch>
                </pic:blipFill>
                <pic:spPr bwMode="auto">
                  <a:xfrm>
                    <a:off x="0" y="0"/>
                    <a:ext cx="467360" cy="638175"/>
                  </a:xfrm>
                  <a:prstGeom prst="rect">
                    <a:avLst/>
                  </a:prstGeom>
                </pic:spPr>
              </pic:pic>
            </a:graphicData>
          </a:graphic>
        </wp:inline>
      </w:drawing>
    </w:r>
  </w:p>
  <w:p>
    <w:pPr>
      <w:pStyle w:val="Intestazione"/>
      <w:rPr>
        <w:sz w:val="20"/>
        <w:szCs w:val="20"/>
      </w:rPr>
    </w:pPr>
    <w:r>
      <w:rPr>
        <w:sz w:val="20"/>
        <w:szCs w:val="20"/>
      </w:rPr>
      <w:t xml:space="preserve">              </w:t>
    </w:r>
    <w:r>
      <w:rPr>
        <w:sz w:val="20"/>
        <w:szCs w:val="20"/>
      </w:rPr>
      <w:t xml:space="preserve">Provincia di Livorno                                                                                                  ACCORDO QUADRO </w:t>
    </w:r>
  </w:p>
  <w:p>
    <w:pPr>
      <w:pStyle w:val="Intestazione"/>
      <w:rPr>
        <w:sz w:val="18"/>
        <w:szCs w:val="18"/>
      </w:rPr>
    </w:pPr>
    <w:r>
      <w:rPr>
        <w:sz w:val="18"/>
        <w:szCs w:val="18"/>
      </w:rPr>
      <w:t xml:space="preserve">Servizio Sviluppo Investimenti Edilizia                                                                              </w:t>
    </w:r>
    <w:r>
      <w:rPr>
        <w:sz w:val="20"/>
        <w:szCs w:val="20"/>
      </w:rPr>
      <w:t>MANUTENZIONE OPERE D’ARTE - PONTI</w:t>
    </w:r>
    <w:r>
      <w:rPr>
        <w:sz w:val="18"/>
        <w:szCs w:val="18"/>
      </w:rPr>
      <w:br/>
      <w:t xml:space="preserve">         e Viabilità- Attuazione PNRR</w:t>
    </w:r>
  </w:p>
  <w:p>
    <w:pPr>
      <w:pStyle w:val="Intestazione"/>
      <w:rPr>
        <w:sz w:val="18"/>
        <w:szCs w:val="18"/>
      </w:rPr>
    </w:pPr>
    <w:r>
      <w:rPr>
        <w:sz w:val="18"/>
        <w:szCs w:val="18"/>
      </w:rPr>
    </w:r>
  </w:p>
  <w:p>
    <w:pPr>
      <w:pStyle w:val="Intestazione"/>
      <w:jc w:val="center"/>
      <w:rPr>
        <w:b/>
        <w:b/>
        <w:bCs/>
        <w:sz w:val="24"/>
        <w:szCs w:val="24"/>
      </w:rPr>
    </w:pPr>
    <w:r>
      <w:rPr>
        <w:b/>
        <w:bCs/>
        <w:sz w:val="24"/>
        <w:szCs w:val="24"/>
      </w:rPr>
      <w:t>Capitolato speciale d’appalto – Parte II</w:t>
    </w:r>
  </w:p>
  <w:p>
    <w:pPr>
      <w:pStyle w:val="Intestazione"/>
      <w:jc w:val="center"/>
      <w:rPr>
        <w:b/>
        <w:b/>
        <w:bCs/>
        <w:sz w:val="24"/>
        <w:szCs w:val="24"/>
      </w:rPr>
    </w:pPr>
    <w:r>
      <w:rPr>
        <w:b/>
        <w:bCs/>
        <w:sz w:val="24"/>
        <w:szCs w:val="24"/>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numFmt w:val="bullet"/>
      <w:lvlText w:val="-"/>
      <w:lvlJc w:val="left"/>
      <w:pPr>
        <w:tabs>
          <w:tab w:val="num" w:pos="720"/>
        </w:tabs>
        <w:ind w:left="720"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789" w:hanging="360"/>
      </w:pPr>
      <w:rPr>
        <w:rFonts w:ascii="Courier New" w:hAnsi="Courier New" w:cs="Courier New" w:hint="default"/>
      </w:rPr>
    </w:lvl>
    <w:lvl w:ilvl="2">
      <w:start w:val="1"/>
      <w:numFmt w:val="bullet"/>
      <w:lvlText w:val=""/>
      <w:lvlJc w:val="left"/>
      <w:pPr>
        <w:tabs>
          <w:tab w:val="num" w:pos="1440"/>
        </w:tabs>
        <w:ind w:left="2509" w:hanging="360"/>
      </w:pPr>
      <w:rPr>
        <w:rFonts w:ascii="Wingdings" w:hAnsi="Wingdings" w:cs="Wingdings" w:hint="default"/>
      </w:rPr>
    </w:lvl>
    <w:lvl w:ilvl="3">
      <w:start w:val="1"/>
      <w:numFmt w:val="bullet"/>
      <w:lvlText w:val=""/>
      <w:lvlJc w:val="left"/>
      <w:pPr>
        <w:tabs>
          <w:tab w:val="num" w:pos="1800"/>
        </w:tabs>
        <w:ind w:left="3229" w:hanging="360"/>
      </w:pPr>
      <w:rPr>
        <w:rFonts w:ascii="Symbol" w:hAnsi="Symbol" w:cs="Symbol" w:hint="default"/>
      </w:rPr>
    </w:lvl>
    <w:lvl w:ilvl="4">
      <w:start w:val="1"/>
      <w:numFmt w:val="bullet"/>
      <w:lvlText w:val="o"/>
      <w:lvlJc w:val="left"/>
      <w:pPr>
        <w:tabs>
          <w:tab w:val="num" w:pos="2160"/>
        </w:tabs>
        <w:ind w:left="3949" w:hanging="360"/>
      </w:pPr>
      <w:rPr>
        <w:rFonts w:ascii="Courier New" w:hAnsi="Courier New" w:cs="Courier New" w:hint="default"/>
      </w:rPr>
    </w:lvl>
    <w:lvl w:ilvl="5">
      <w:start w:val="1"/>
      <w:numFmt w:val="bullet"/>
      <w:lvlText w:val=""/>
      <w:lvlJc w:val="left"/>
      <w:pPr>
        <w:tabs>
          <w:tab w:val="num" w:pos="2520"/>
        </w:tabs>
        <w:ind w:left="4669" w:hanging="360"/>
      </w:pPr>
      <w:rPr>
        <w:rFonts w:ascii="Wingdings" w:hAnsi="Wingdings" w:cs="Wingdings" w:hint="default"/>
      </w:rPr>
    </w:lvl>
    <w:lvl w:ilvl="6">
      <w:start w:val="1"/>
      <w:numFmt w:val="bullet"/>
      <w:lvlText w:val=""/>
      <w:lvlJc w:val="left"/>
      <w:pPr>
        <w:tabs>
          <w:tab w:val="num" w:pos="2880"/>
        </w:tabs>
        <w:ind w:left="5389" w:hanging="360"/>
      </w:pPr>
      <w:rPr>
        <w:rFonts w:ascii="Symbol" w:hAnsi="Symbol" w:cs="Symbol" w:hint="default"/>
      </w:rPr>
    </w:lvl>
    <w:lvl w:ilvl="7">
      <w:start w:val="1"/>
      <w:numFmt w:val="bullet"/>
      <w:lvlText w:val="o"/>
      <w:lvlJc w:val="left"/>
      <w:pPr>
        <w:tabs>
          <w:tab w:val="num" w:pos="3240"/>
        </w:tabs>
        <w:ind w:left="6109" w:hanging="360"/>
      </w:pPr>
      <w:rPr>
        <w:rFonts w:ascii="Courier New" w:hAnsi="Courier New" w:cs="Courier New" w:hint="default"/>
      </w:rPr>
    </w:lvl>
    <w:lvl w:ilvl="8">
      <w:start w:val="1"/>
      <w:numFmt w:val="bullet"/>
      <w:lvlText w:val=""/>
      <w:lvlJc w:val="left"/>
      <w:pPr>
        <w:tabs>
          <w:tab w:val="num" w:pos="3600"/>
        </w:tabs>
        <w:ind w:left="6829" w:hanging="360"/>
      </w:pPr>
      <w:rPr>
        <w:rFonts w:ascii="Wingdings" w:hAnsi="Wingdings" w:cs="Wingdings" w:hint="default"/>
      </w:rPr>
    </w:lvl>
  </w:abstractNum>
  <w:abstractNum w:abstractNumId="3">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4">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5">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6">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7">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8">
    <w:lvl w:ilvl="0">
      <w:numFmt w:val="bullet"/>
      <w:lvlText w:val="-"/>
      <w:lvlJc w:val="left"/>
      <w:pPr>
        <w:tabs>
          <w:tab w:val="num" w:pos="720"/>
        </w:tabs>
        <w:ind w:left="1353" w:hanging="360"/>
      </w:pPr>
      <w:rPr>
        <w:rFonts w:ascii="Calibri" w:hAnsi="Calibri" w:cs="Calibri" w:hint="default"/>
      </w:rPr>
    </w:lvl>
    <w:lvl w:ilvl="1">
      <w:start w:val="1"/>
      <w:numFmt w:val="bullet"/>
      <w:lvlText w:val="o"/>
      <w:lvlJc w:val="left"/>
      <w:pPr>
        <w:tabs>
          <w:tab w:val="num" w:pos="1080"/>
        </w:tabs>
        <w:ind w:left="1724" w:hanging="360"/>
      </w:pPr>
      <w:rPr>
        <w:rFonts w:ascii="Courier New" w:hAnsi="Courier New" w:cs="Courier New" w:hint="default"/>
      </w:rPr>
    </w:lvl>
    <w:lvl w:ilvl="2">
      <w:start w:val="1"/>
      <w:numFmt w:val="bullet"/>
      <w:lvlText w:val=""/>
      <w:lvlJc w:val="left"/>
      <w:pPr>
        <w:tabs>
          <w:tab w:val="num" w:pos="1440"/>
        </w:tabs>
        <w:ind w:left="2444" w:hanging="360"/>
      </w:pPr>
      <w:rPr>
        <w:rFonts w:ascii="Wingdings" w:hAnsi="Wingdings" w:cs="Wingdings" w:hint="default"/>
      </w:rPr>
    </w:lvl>
    <w:lvl w:ilvl="3">
      <w:start w:val="1"/>
      <w:numFmt w:val="bullet"/>
      <w:lvlText w:val=""/>
      <w:lvlJc w:val="left"/>
      <w:pPr>
        <w:tabs>
          <w:tab w:val="num" w:pos="1800"/>
        </w:tabs>
        <w:ind w:left="3164" w:hanging="360"/>
      </w:pPr>
      <w:rPr>
        <w:rFonts w:ascii="Symbol" w:hAnsi="Symbol" w:cs="Symbol" w:hint="default"/>
      </w:rPr>
    </w:lvl>
    <w:lvl w:ilvl="4">
      <w:start w:val="1"/>
      <w:numFmt w:val="bullet"/>
      <w:lvlText w:val="o"/>
      <w:lvlJc w:val="left"/>
      <w:pPr>
        <w:tabs>
          <w:tab w:val="num" w:pos="2160"/>
        </w:tabs>
        <w:ind w:left="3884" w:hanging="360"/>
      </w:pPr>
      <w:rPr>
        <w:rFonts w:ascii="Courier New" w:hAnsi="Courier New" w:cs="Courier New" w:hint="default"/>
      </w:rPr>
    </w:lvl>
    <w:lvl w:ilvl="5">
      <w:start w:val="1"/>
      <w:numFmt w:val="bullet"/>
      <w:lvlText w:val=""/>
      <w:lvlJc w:val="left"/>
      <w:pPr>
        <w:tabs>
          <w:tab w:val="num" w:pos="2520"/>
        </w:tabs>
        <w:ind w:left="4604" w:hanging="360"/>
      </w:pPr>
      <w:rPr>
        <w:rFonts w:ascii="Wingdings" w:hAnsi="Wingdings" w:cs="Wingdings" w:hint="default"/>
      </w:rPr>
    </w:lvl>
    <w:lvl w:ilvl="6">
      <w:start w:val="1"/>
      <w:numFmt w:val="bullet"/>
      <w:lvlText w:val=""/>
      <w:lvlJc w:val="left"/>
      <w:pPr>
        <w:tabs>
          <w:tab w:val="num" w:pos="2880"/>
        </w:tabs>
        <w:ind w:left="5324" w:hanging="360"/>
      </w:pPr>
      <w:rPr>
        <w:rFonts w:ascii="Symbol" w:hAnsi="Symbol" w:cs="Symbol" w:hint="default"/>
      </w:rPr>
    </w:lvl>
    <w:lvl w:ilvl="7">
      <w:start w:val="1"/>
      <w:numFmt w:val="bullet"/>
      <w:lvlText w:val="o"/>
      <w:lvlJc w:val="left"/>
      <w:pPr>
        <w:tabs>
          <w:tab w:val="num" w:pos="3240"/>
        </w:tabs>
        <w:ind w:left="6044" w:hanging="360"/>
      </w:pPr>
      <w:rPr>
        <w:rFonts w:ascii="Courier New" w:hAnsi="Courier New" w:cs="Courier New" w:hint="default"/>
      </w:rPr>
    </w:lvl>
    <w:lvl w:ilvl="8">
      <w:start w:val="1"/>
      <w:numFmt w:val="bullet"/>
      <w:lvlText w:val=""/>
      <w:lvlJc w:val="left"/>
      <w:pPr>
        <w:tabs>
          <w:tab w:val="num" w:pos="3600"/>
        </w:tabs>
        <w:ind w:left="6764" w:hanging="360"/>
      </w:pPr>
      <w:rPr>
        <w:rFonts w:ascii="Wingdings" w:hAnsi="Wingdings" w:cs="Wingdings" w:hint="default"/>
      </w:rPr>
    </w:lvl>
  </w:abstractNum>
  <w:abstractNum w:abstractNumId="9">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0">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1">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2">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3">
    <w:lvl w:ilvl="0">
      <w:numFmt w:val="bullet"/>
      <w:lvlText w:val="-"/>
      <w:lvlJc w:val="left"/>
      <w:pPr>
        <w:tabs>
          <w:tab w:val="num" w:pos="720"/>
        </w:tabs>
        <w:ind w:left="1069" w:hanging="360"/>
      </w:pPr>
      <w:rPr>
        <w:rFonts w:ascii="Calibri" w:hAnsi="Calibri" w:cs="Calibri" w:hint="default"/>
      </w:rPr>
    </w:lvl>
    <w:lvl w:ilvl="1">
      <w:start w:val="0"/>
      <w:numFmt w:val="bullet"/>
      <w:lvlText w:val="•"/>
      <w:lvlJc w:val="left"/>
      <w:pPr>
        <w:tabs>
          <w:tab w:val="num" w:pos="1080"/>
        </w:tabs>
        <w:ind w:left="1440" w:hanging="360"/>
      </w:pPr>
      <w:rPr>
        <w:rFonts w:ascii="Calibri" w:hAnsi="Calibri" w:cs="Calibri"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4">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5">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6">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17">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440" w:hanging="360"/>
      </w:pPr>
    </w:lvl>
    <w:lvl w:ilvl="2">
      <w:start w:val="1"/>
      <w:numFmt w:val="lowerRoman"/>
      <w:lvlText w:val="%3."/>
      <w:lvlJc w:val="right"/>
      <w:pPr>
        <w:tabs>
          <w:tab w:val="num" w:pos="1440"/>
        </w:tabs>
        <w:ind w:left="2160" w:hanging="180"/>
      </w:pPr>
    </w:lvl>
    <w:lvl w:ilvl="3">
      <w:start w:val="1"/>
      <w:numFmt w:val="decimal"/>
      <w:lvlText w:val="%4."/>
      <w:lvlJc w:val="left"/>
      <w:pPr>
        <w:tabs>
          <w:tab w:val="num" w:pos="1800"/>
        </w:tabs>
        <w:ind w:left="2880" w:hanging="360"/>
      </w:pPr>
    </w:lvl>
    <w:lvl w:ilvl="4">
      <w:start w:val="1"/>
      <w:numFmt w:val="lowerLetter"/>
      <w:lvlText w:val="%5."/>
      <w:lvlJc w:val="left"/>
      <w:pPr>
        <w:tabs>
          <w:tab w:val="num" w:pos="2160"/>
        </w:tabs>
        <w:ind w:left="3600" w:hanging="360"/>
      </w:pPr>
    </w:lvl>
    <w:lvl w:ilvl="5">
      <w:start w:val="1"/>
      <w:numFmt w:val="lowerRoman"/>
      <w:lvlText w:val="%6."/>
      <w:lvlJc w:val="right"/>
      <w:pPr>
        <w:tabs>
          <w:tab w:val="num" w:pos="2520"/>
        </w:tabs>
        <w:ind w:left="4320" w:hanging="180"/>
      </w:pPr>
    </w:lvl>
    <w:lvl w:ilvl="6">
      <w:start w:val="1"/>
      <w:numFmt w:val="decimal"/>
      <w:lvlText w:val="%7."/>
      <w:lvlJc w:val="left"/>
      <w:pPr>
        <w:tabs>
          <w:tab w:val="num" w:pos="2880"/>
        </w:tabs>
        <w:ind w:left="5040" w:hanging="360"/>
      </w:pPr>
    </w:lvl>
    <w:lvl w:ilvl="7">
      <w:start w:val="1"/>
      <w:numFmt w:val="lowerLetter"/>
      <w:lvlText w:val="%8."/>
      <w:lvlJc w:val="left"/>
      <w:pPr>
        <w:tabs>
          <w:tab w:val="num" w:pos="3240"/>
        </w:tabs>
        <w:ind w:left="5760" w:hanging="360"/>
      </w:pPr>
    </w:lvl>
    <w:lvl w:ilvl="8">
      <w:start w:val="1"/>
      <w:numFmt w:val="lowerRoman"/>
      <w:lvlText w:val="%9."/>
      <w:lvlJc w:val="right"/>
      <w:pPr>
        <w:tabs>
          <w:tab w:val="num" w:pos="3600"/>
        </w:tabs>
        <w:ind w:left="6480" w:hanging="180"/>
      </w:pPr>
    </w:lvl>
  </w:abstractNum>
  <w:abstractNum w:abstractNumId="18">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440" w:hanging="360"/>
      </w:pPr>
    </w:lvl>
    <w:lvl w:ilvl="2">
      <w:start w:val="1"/>
      <w:numFmt w:val="lowerRoman"/>
      <w:lvlText w:val="%3."/>
      <w:lvlJc w:val="right"/>
      <w:pPr>
        <w:tabs>
          <w:tab w:val="num" w:pos="1440"/>
        </w:tabs>
        <w:ind w:left="2160" w:hanging="180"/>
      </w:pPr>
    </w:lvl>
    <w:lvl w:ilvl="3">
      <w:start w:val="1"/>
      <w:numFmt w:val="decimal"/>
      <w:lvlText w:val="%4."/>
      <w:lvlJc w:val="left"/>
      <w:pPr>
        <w:tabs>
          <w:tab w:val="num" w:pos="1800"/>
        </w:tabs>
        <w:ind w:left="2880" w:hanging="360"/>
      </w:pPr>
    </w:lvl>
    <w:lvl w:ilvl="4">
      <w:start w:val="1"/>
      <w:numFmt w:val="lowerLetter"/>
      <w:lvlText w:val="%5."/>
      <w:lvlJc w:val="left"/>
      <w:pPr>
        <w:tabs>
          <w:tab w:val="num" w:pos="2160"/>
        </w:tabs>
        <w:ind w:left="3600" w:hanging="360"/>
      </w:pPr>
    </w:lvl>
    <w:lvl w:ilvl="5">
      <w:start w:val="1"/>
      <w:numFmt w:val="lowerRoman"/>
      <w:lvlText w:val="%6."/>
      <w:lvlJc w:val="right"/>
      <w:pPr>
        <w:tabs>
          <w:tab w:val="num" w:pos="2520"/>
        </w:tabs>
        <w:ind w:left="4320" w:hanging="180"/>
      </w:pPr>
    </w:lvl>
    <w:lvl w:ilvl="6">
      <w:start w:val="1"/>
      <w:numFmt w:val="decimal"/>
      <w:lvlText w:val="%7."/>
      <w:lvlJc w:val="left"/>
      <w:pPr>
        <w:tabs>
          <w:tab w:val="num" w:pos="2880"/>
        </w:tabs>
        <w:ind w:left="5040" w:hanging="360"/>
      </w:pPr>
    </w:lvl>
    <w:lvl w:ilvl="7">
      <w:start w:val="1"/>
      <w:numFmt w:val="lowerLetter"/>
      <w:lvlText w:val="%8."/>
      <w:lvlJc w:val="left"/>
      <w:pPr>
        <w:tabs>
          <w:tab w:val="num" w:pos="3240"/>
        </w:tabs>
        <w:ind w:left="5760" w:hanging="360"/>
      </w:pPr>
    </w:lvl>
    <w:lvl w:ilvl="8">
      <w:start w:val="1"/>
      <w:numFmt w:val="lowerRoman"/>
      <w:lvlText w:val="%9."/>
      <w:lvlJc w:val="right"/>
      <w:pPr>
        <w:tabs>
          <w:tab w:val="num" w:pos="3600"/>
        </w:tabs>
        <w:ind w:left="6480" w:hanging="180"/>
      </w:pPr>
    </w:lvl>
  </w:abstractNum>
  <w:abstractNum w:abstractNumId="19">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0">
    <w:lvl w:ilvl="0">
      <w:numFmt w:val="bullet"/>
      <w:lvlText w:val="-"/>
      <w:lvlJc w:val="left"/>
      <w:pPr>
        <w:tabs>
          <w:tab w:val="num" w:pos="720"/>
        </w:tabs>
        <w:ind w:left="1069" w:hanging="360"/>
      </w:pPr>
      <w:rPr>
        <w:rFonts w:ascii="Calibri" w:hAnsi="Calibri" w:cs="Calibri" w:hint="default"/>
      </w:rPr>
    </w:lvl>
    <w:lvl w:ilvl="1">
      <w:start w:val="1"/>
      <w:numFmt w:val="bullet"/>
      <w:lvlText w:val=""/>
      <w:lvlJc w:val="left"/>
      <w:pPr>
        <w:tabs>
          <w:tab w:val="num" w:pos="1080"/>
        </w:tabs>
        <w:ind w:left="720" w:hanging="360"/>
      </w:pPr>
      <w:rPr>
        <w:rFonts w:ascii="Symbol" w:hAnsi="Symbol" w:cs="Symbol"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1">
    <w:lvl w:ilvl="0">
      <w:start w:val="1"/>
      <w:numFmt w:val="upperLetter"/>
      <w:lvlText w:val="%1."/>
      <w:lvlJc w:val="left"/>
      <w:pPr>
        <w:tabs>
          <w:tab w:val="num" w:pos="720"/>
        </w:tabs>
        <w:ind w:left="720" w:hanging="360"/>
      </w:pPr>
    </w:lvl>
    <w:lvl w:ilvl="1">
      <w:start w:val="1"/>
      <w:numFmt w:val="lowerLetter"/>
      <w:lvlText w:val="%2."/>
      <w:lvlJc w:val="left"/>
      <w:pPr>
        <w:tabs>
          <w:tab w:val="num" w:pos="1080"/>
        </w:tabs>
        <w:ind w:left="1440" w:hanging="360"/>
      </w:pPr>
    </w:lvl>
    <w:lvl w:ilvl="2">
      <w:start w:val="1"/>
      <w:numFmt w:val="lowerRoman"/>
      <w:lvlText w:val="%3."/>
      <w:lvlJc w:val="right"/>
      <w:pPr>
        <w:tabs>
          <w:tab w:val="num" w:pos="1440"/>
        </w:tabs>
        <w:ind w:left="2160" w:hanging="180"/>
      </w:pPr>
    </w:lvl>
    <w:lvl w:ilvl="3">
      <w:start w:val="1"/>
      <w:numFmt w:val="decimal"/>
      <w:lvlText w:val="%4."/>
      <w:lvlJc w:val="left"/>
      <w:pPr>
        <w:tabs>
          <w:tab w:val="num" w:pos="1800"/>
        </w:tabs>
        <w:ind w:left="2880" w:hanging="360"/>
      </w:pPr>
    </w:lvl>
    <w:lvl w:ilvl="4">
      <w:start w:val="1"/>
      <w:numFmt w:val="lowerLetter"/>
      <w:lvlText w:val="%5."/>
      <w:lvlJc w:val="left"/>
      <w:pPr>
        <w:tabs>
          <w:tab w:val="num" w:pos="2160"/>
        </w:tabs>
        <w:ind w:left="3600" w:hanging="360"/>
      </w:pPr>
    </w:lvl>
    <w:lvl w:ilvl="5">
      <w:start w:val="1"/>
      <w:numFmt w:val="lowerRoman"/>
      <w:lvlText w:val="%6."/>
      <w:lvlJc w:val="right"/>
      <w:pPr>
        <w:tabs>
          <w:tab w:val="num" w:pos="2520"/>
        </w:tabs>
        <w:ind w:left="4320" w:hanging="180"/>
      </w:pPr>
    </w:lvl>
    <w:lvl w:ilvl="6">
      <w:start w:val="1"/>
      <w:numFmt w:val="decimal"/>
      <w:lvlText w:val="%7."/>
      <w:lvlJc w:val="left"/>
      <w:pPr>
        <w:tabs>
          <w:tab w:val="num" w:pos="2880"/>
        </w:tabs>
        <w:ind w:left="5040" w:hanging="360"/>
      </w:pPr>
    </w:lvl>
    <w:lvl w:ilvl="7">
      <w:start w:val="1"/>
      <w:numFmt w:val="lowerLetter"/>
      <w:lvlText w:val="%8."/>
      <w:lvlJc w:val="left"/>
      <w:pPr>
        <w:tabs>
          <w:tab w:val="num" w:pos="3240"/>
        </w:tabs>
        <w:ind w:left="5760" w:hanging="360"/>
      </w:pPr>
    </w:lvl>
    <w:lvl w:ilvl="8">
      <w:start w:val="1"/>
      <w:numFmt w:val="lowerRoman"/>
      <w:lvlText w:val="%9."/>
      <w:lvlJc w:val="right"/>
      <w:pPr>
        <w:tabs>
          <w:tab w:val="num" w:pos="3600"/>
        </w:tabs>
        <w:ind w:left="6480" w:hanging="180"/>
      </w:pPr>
    </w:lvl>
  </w:abstractNum>
  <w:abstractNum w:abstractNumId="22">
    <w:lvl w:ilvl="0">
      <w:start w:val="1"/>
      <w:numFmt w:val="bullet"/>
      <w:lvlText w:val=""/>
      <w:lvlJc w:val="left"/>
      <w:pPr>
        <w:tabs>
          <w:tab w:val="num" w:pos="720"/>
        </w:tabs>
        <w:ind w:left="1440" w:hanging="360"/>
      </w:pPr>
      <w:rPr>
        <w:rFonts w:ascii="Symbol" w:hAnsi="Symbol" w:cs="Symbol" w:hint="default"/>
      </w:rPr>
    </w:lvl>
    <w:lvl w:ilvl="1">
      <w:start w:val="1"/>
      <w:numFmt w:val="bullet"/>
      <w:lvlText w:val="o"/>
      <w:lvlJc w:val="left"/>
      <w:pPr>
        <w:tabs>
          <w:tab w:val="num" w:pos="1080"/>
        </w:tabs>
        <w:ind w:left="2160" w:hanging="360"/>
      </w:pPr>
      <w:rPr>
        <w:rFonts w:ascii="Courier New" w:hAnsi="Courier New" w:cs="Courier New" w:hint="default"/>
      </w:rPr>
    </w:lvl>
    <w:lvl w:ilvl="2">
      <w:start w:val="1"/>
      <w:numFmt w:val="bullet"/>
      <w:lvlText w:val=""/>
      <w:lvlJc w:val="left"/>
      <w:pPr>
        <w:tabs>
          <w:tab w:val="num" w:pos="1440"/>
        </w:tabs>
        <w:ind w:left="2880" w:hanging="360"/>
      </w:pPr>
      <w:rPr>
        <w:rFonts w:ascii="Wingdings" w:hAnsi="Wingdings" w:cs="Wingdings" w:hint="default"/>
      </w:rPr>
    </w:lvl>
    <w:lvl w:ilvl="3">
      <w:start w:val="1"/>
      <w:numFmt w:val="bullet"/>
      <w:lvlText w:val=""/>
      <w:lvlJc w:val="left"/>
      <w:pPr>
        <w:tabs>
          <w:tab w:val="num" w:pos="1800"/>
        </w:tabs>
        <w:ind w:left="3600" w:hanging="360"/>
      </w:pPr>
      <w:rPr>
        <w:rFonts w:ascii="Symbol" w:hAnsi="Symbol" w:cs="Symbol" w:hint="default"/>
      </w:rPr>
    </w:lvl>
    <w:lvl w:ilvl="4">
      <w:start w:val="1"/>
      <w:numFmt w:val="bullet"/>
      <w:lvlText w:val="o"/>
      <w:lvlJc w:val="left"/>
      <w:pPr>
        <w:tabs>
          <w:tab w:val="num" w:pos="2160"/>
        </w:tabs>
        <w:ind w:left="4320" w:hanging="360"/>
      </w:pPr>
      <w:rPr>
        <w:rFonts w:ascii="Courier New" w:hAnsi="Courier New" w:cs="Courier New" w:hint="default"/>
      </w:rPr>
    </w:lvl>
    <w:lvl w:ilvl="5">
      <w:start w:val="1"/>
      <w:numFmt w:val="bullet"/>
      <w:lvlText w:val=""/>
      <w:lvlJc w:val="left"/>
      <w:pPr>
        <w:tabs>
          <w:tab w:val="num" w:pos="2520"/>
        </w:tabs>
        <w:ind w:left="5040" w:hanging="360"/>
      </w:pPr>
      <w:rPr>
        <w:rFonts w:ascii="Wingdings" w:hAnsi="Wingdings" w:cs="Wingdings" w:hint="default"/>
      </w:rPr>
    </w:lvl>
    <w:lvl w:ilvl="6">
      <w:start w:val="1"/>
      <w:numFmt w:val="bullet"/>
      <w:lvlText w:val=""/>
      <w:lvlJc w:val="left"/>
      <w:pPr>
        <w:tabs>
          <w:tab w:val="num" w:pos="2880"/>
        </w:tabs>
        <w:ind w:left="5760" w:hanging="360"/>
      </w:pPr>
      <w:rPr>
        <w:rFonts w:ascii="Symbol" w:hAnsi="Symbol" w:cs="Symbol" w:hint="default"/>
      </w:rPr>
    </w:lvl>
    <w:lvl w:ilvl="7">
      <w:start w:val="1"/>
      <w:numFmt w:val="bullet"/>
      <w:lvlText w:val="o"/>
      <w:lvlJc w:val="left"/>
      <w:pPr>
        <w:tabs>
          <w:tab w:val="num" w:pos="3240"/>
        </w:tabs>
        <w:ind w:left="6480" w:hanging="360"/>
      </w:pPr>
      <w:rPr>
        <w:rFonts w:ascii="Courier New" w:hAnsi="Courier New" w:cs="Courier New" w:hint="default"/>
      </w:rPr>
    </w:lvl>
    <w:lvl w:ilvl="8">
      <w:start w:val="1"/>
      <w:numFmt w:val="bullet"/>
      <w:lvlText w:val=""/>
      <w:lvlJc w:val="left"/>
      <w:pPr>
        <w:tabs>
          <w:tab w:val="num" w:pos="3600"/>
        </w:tabs>
        <w:ind w:left="7200" w:hanging="360"/>
      </w:pPr>
      <w:rPr>
        <w:rFonts w:ascii="Wingdings" w:hAnsi="Wingdings" w:cs="Wingdings" w:hint="default"/>
      </w:rPr>
    </w:lvl>
  </w:abstractNum>
  <w:abstractNum w:abstractNumId="23">
    <w:lvl w:ilvl="0">
      <w:numFmt w:val="bullet"/>
      <w:lvlText w:val="-"/>
      <w:lvlJc w:val="left"/>
      <w:pPr>
        <w:tabs>
          <w:tab w:val="num" w:pos="720"/>
        </w:tabs>
        <w:ind w:left="1069" w:hanging="360"/>
      </w:pPr>
      <w:rPr>
        <w:rFonts w:ascii="Calibri" w:hAnsi="Calibri" w:cs="Calibri" w:hint="default"/>
      </w:rPr>
    </w:lvl>
    <w:lvl w:ilvl="1">
      <w:start w:val="1"/>
      <w:numFmt w:val="bullet"/>
      <w:lvlText w:val=""/>
      <w:lvlJc w:val="left"/>
      <w:pPr>
        <w:tabs>
          <w:tab w:val="num" w:pos="1080"/>
        </w:tabs>
        <w:ind w:left="1440" w:hanging="360"/>
      </w:pPr>
      <w:rPr>
        <w:rFonts w:ascii="Symbol" w:hAnsi="Symbol" w:cs="Symbol"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4">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440" w:hanging="360"/>
      </w:pPr>
    </w:lvl>
    <w:lvl w:ilvl="2">
      <w:start w:val="1"/>
      <w:numFmt w:val="lowerRoman"/>
      <w:lvlText w:val="%3."/>
      <w:lvlJc w:val="right"/>
      <w:pPr>
        <w:tabs>
          <w:tab w:val="num" w:pos="1440"/>
        </w:tabs>
        <w:ind w:left="2160" w:hanging="180"/>
      </w:pPr>
    </w:lvl>
    <w:lvl w:ilvl="3">
      <w:start w:val="1"/>
      <w:numFmt w:val="decimal"/>
      <w:lvlText w:val="%4."/>
      <w:lvlJc w:val="left"/>
      <w:pPr>
        <w:tabs>
          <w:tab w:val="num" w:pos="1800"/>
        </w:tabs>
        <w:ind w:left="2880" w:hanging="360"/>
      </w:pPr>
    </w:lvl>
    <w:lvl w:ilvl="4">
      <w:start w:val="1"/>
      <w:numFmt w:val="lowerLetter"/>
      <w:lvlText w:val="%5."/>
      <w:lvlJc w:val="left"/>
      <w:pPr>
        <w:tabs>
          <w:tab w:val="num" w:pos="2160"/>
        </w:tabs>
        <w:ind w:left="3600" w:hanging="360"/>
      </w:pPr>
    </w:lvl>
    <w:lvl w:ilvl="5">
      <w:start w:val="1"/>
      <w:numFmt w:val="lowerRoman"/>
      <w:lvlText w:val="%6."/>
      <w:lvlJc w:val="right"/>
      <w:pPr>
        <w:tabs>
          <w:tab w:val="num" w:pos="2520"/>
        </w:tabs>
        <w:ind w:left="4320" w:hanging="180"/>
      </w:pPr>
    </w:lvl>
    <w:lvl w:ilvl="6">
      <w:start w:val="1"/>
      <w:numFmt w:val="decimal"/>
      <w:lvlText w:val="%7."/>
      <w:lvlJc w:val="left"/>
      <w:pPr>
        <w:tabs>
          <w:tab w:val="num" w:pos="2880"/>
        </w:tabs>
        <w:ind w:left="5040" w:hanging="360"/>
      </w:pPr>
    </w:lvl>
    <w:lvl w:ilvl="7">
      <w:start w:val="1"/>
      <w:numFmt w:val="lowerLetter"/>
      <w:lvlText w:val="%8."/>
      <w:lvlJc w:val="left"/>
      <w:pPr>
        <w:tabs>
          <w:tab w:val="num" w:pos="3240"/>
        </w:tabs>
        <w:ind w:left="5760" w:hanging="360"/>
      </w:pPr>
    </w:lvl>
    <w:lvl w:ilvl="8">
      <w:start w:val="1"/>
      <w:numFmt w:val="lowerRoman"/>
      <w:lvlText w:val="%9."/>
      <w:lvlJc w:val="right"/>
      <w:pPr>
        <w:tabs>
          <w:tab w:val="num" w:pos="3600"/>
        </w:tabs>
        <w:ind w:left="6480" w:hanging="180"/>
      </w:pPr>
    </w:lvl>
  </w:abstractNum>
  <w:abstractNum w:abstractNumId="25">
    <w:lvl w:ilvl="0">
      <w:start w:val="1"/>
      <w:numFmt w:val="lowerLetter"/>
      <w:lvlText w:val="%1)"/>
      <w:lvlJc w:val="left"/>
      <w:pPr>
        <w:tabs>
          <w:tab w:val="num" w:pos="720"/>
        </w:tabs>
        <w:ind w:left="1004" w:hanging="360"/>
      </w:pPr>
    </w:lvl>
    <w:lvl w:ilvl="1">
      <w:start w:val="1"/>
      <w:numFmt w:val="lowerLetter"/>
      <w:lvlText w:val="%2."/>
      <w:lvlJc w:val="left"/>
      <w:pPr>
        <w:tabs>
          <w:tab w:val="num" w:pos="1080"/>
        </w:tabs>
        <w:ind w:left="1724" w:hanging="360"/>
      </w:pPr>
    </w:lvl>
    <w:lvl w:ilvl="2">
      <w:start w:val="1"/>
      <w:numFmt w:val="lowerRoman"/>
      <w:lvlText w:val="%3."/>
      <w:lvlJc w:val="right"/>
      <w:pPr>
        <w:tabs>
          <w:tab w:val="num" w:pos="1440"/>
        </w:tabs>
        <w:ind w:left="2444" w:hanging="180"/>
      </w:pPr>
    </w:lvl>
    <w:lvl w:ilvl="3">
      <w:start w:val="1"/>
      <w:numFmt w:val="decimal"/>
      <w:lvlText w:val="%4."/>
      <w:lvlJc w:val="left"/>
      <w:pPr>
        <w:tabs>
          <w:tab w:val="num" w:pos="1800"/>
        </w:tabs>
        <w:ind w:left="3164" w:hanging="360"/>
      </w:pPr>
    </w:lvl>
    <w:lvl w:ilvl="4">
      <w:start w:val="1"/>
      <w:numFmt w:val="lowerLetter"/>
      <w:lvlText w:val="%5."/>
      <w:lvlJc w:val="left"/>
      <w:pPr>
        <w:tabs>
          <w:tab w:val="num" w:pos="2160"/>
        </w:tabs>
        <w:ind w:left="3884" w:hanging="360"/>
      </w:pPr>
    </w:lvl>
    <w:lvl w:ilvl="5">
      <w:start w:val="1"/>
      <w:numFmt w:val="lowerRoman"/>
      <w:lvlText w:val="%6."/>
      <w:lvlJc w:val="right"/>
      <w:pPr>
        <w:tabs>
          <w:tab w:val="num" w:pos="2520"/>
        </w:tabs>
        <w:ind w:left="4604" w:hanging="180"/>
      </w:pPr>
    </w:lvl>
    <w:lvl w:ilvl="6">
      <w:start w:val="1"/>
      <w:numFmt w:val="decimal"/>
      <w:lvlText w:val="%7."/>
      <w:lvlJc w:val="left"/>
      <w:pPr>
        <w:tabs>
          <w:tab w:val="num" w:pos="2880"/>
        </w:tabs>
        <w:ind w:left="5324" w:hanging="360"/>
      </w:pPr>
    </w:lvl>
    <w:lvl w:ilvl="7">
      <w:start w:val="1"/>
      <w:numFmt w:val="lowerLetter"/>
      <w:lvlText w:val="%8."/>
      <w:lvlJc w:val="left"/>
      <w:pPr>
        <w:tabs>
          <w:tab w:val="num" w:pos="3240"/>
        </w:tabs>
        <w:ind w:left="6044" w:hanging="360"/>
      </w:pPr>
    </w:lvl>
    <w:lvl w:ilvl="8">
      <w:start w:val="1"/>
      <w:numFmt w:val="lowerRoman"/>
      <w:lvlText w:val="%9."/>
      <w:lvlJc w:val="right"/>
      <w:pPr>
        <w:tabs>
          <w:tab w:val="num" w:pos="3600"/>
        </w:tabs>
        <w:ind w:left="6764" w:hanging="180"/>
      </w:pPr>
    </w:lvl>
  </w:abstractNum>
  <w:abstractNum w:abstractNumId="2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7">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8">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29">
    <w:lvl w:ilvl="0">
      <w:numFmt w:val="bullet"/>
      <w:lvlText w:val="-"/>
      <w:lvlJc w:val="left"/>
      <w:pPr>
        <w:tabs>
          <w:tab w:val="num" w:pos="720"/>
        </w:tabs>
        <w:ind w:left="1069" w:hanging="360"/>
      </w:pPr>
      <w:rPr>
        <w:rFonts w:ascii="Calibri" w:hAnsi="Calibri" w:cs="Calibri" w:hint="default"/>
      </w:rPr>
    </w:lvl>
    <w:lvl w:ilvl="1">
      <w:start w:val="1"/>
      <w:numFmt w:val="bullet"/>
      <w:lvlText w:val="o"/>
      <w:lvlJc w:val="left"/>
      <w:pPr>
        <w:tabs>
          <w:tab w:val="num" w:pos="1080"/>
        </w:tabs>
        <w:ind w:left="1440" w:hanging="360"/>
      </w:pPr>
      <w:rPr>
        <w:rFonts w:ascii="Courier New" w:hAnsi="Courier New" w:cs="Courier New" w:hint="default"/>
      </w:rPr>
    </w:lvl>
    <w:lvl w:ilvl="2">
      <w:start w:val="1"/>
      <w:numFmt w:val="bullet"/>
      <w:lvlText w:val=""/>
      <w:lvlJc w:val="left"/>
      <w:pPr>
        <w:tabs>
          <w:tab w:val="num" w:pos="1440"/>
        </w:tabs>
        <w:ind w:left="2160" w:hanging="360"/>
      </w:pPr>
      <w:rPr>
        <w:rFonts w:ascii="Wingdings" w:hAnsi="Wingdings" w:cs="Wingdings" w:hint="default"/>
      </w:rPr>
    </w:lvl>
    <w:lvl w:ilvl="3">
      <w:start w:val="1"/>
      <w:numFmt w:val="bullet"/>
      <w:lvlText w:val=""/>
      <w:lvlJc w:val="left"/>
      <w:pPr>
        <w:tabs>
          <w:tab w:val="num" w:pos="1800"/>
        </w:tabs>
        <w:ind w:left="2880" w:hanging="360"/>
      </w:pPr>
      <w:rPr>
        <w:rFonts w:ascii="Symbol" w:hAnsi="Symbol" w:cs="Symbol" w:hint="default"/>
      </w:rPr>
    </w:lvl>
    <w:lvl w:ilvl="4">
      <w:start w:val="1"/>
      <w:numFmt w:val="bullet"/>
      <w:lvlText w:val="o"/>
      <w:lvlJc w:val="left"/>
      <w:pPr>
        <w:tabs>
          <w:tab w:val="num" w:pos="2160"/>
        </w:tabs>
        <w:ind w:left="3600" w:hanging="360"/>
      </w:pPr>
      <w:rPr>
        <w:rFonts w:ascii="Courier New" w:hAnsi="Courier New" w:cs="Courier New" w:hint="default"/>
      </w:rPr>
    </w:lvl>
    <w:lvl w:ilvl="5">
      <w:start w:val="1"/>
      <w:numFmt w:val="bullet"/>
      <w:lvlText w:val=""/>
      <w:lvlJc w:val="left"/>
      <w:pPr>
        <w:tabs>
          <w:tab w:val="num" w:pos="2520"/>
        </w:tabs>
        <w:ind w:left="4320" w:hanging="360"/>
      </w:pPr>
      <w:rPr>
        <w:rFonts w:ascii="Wingdings" w:hAnsi="Wingdings" w:cs="Wingdings" w:hint="default"/>
      </w:rPr>
    </w:lvl>
    <w:lvl w:ilvl="6">
      <w:start w:val="1"/>
      <w:numFmt w:val="bullet"/>
      <w:lvlText w:val=""/>
      <w:lvlJc w:val="left"/>
      <w:pPr>
        <w:tabs>
          <w:tab w:val="num" w:pos="2880"/>
        </w:tabs>
        <w:ind w:left="5040" w:hanging="360"/>
      </w:pPr>
      <w:rPr>
        <w:rFonts w:ascii="Symbol" w:hAnsi="Symbol" w:cs="Symbol" w:hint="default"/>
      </w:rPr>
    </w:lvl>
    <w:lvl w:ilvl="7">
      <w:start w:val="1"/>
      <w:numFmt w:val="bullet"/>
      <w:lvlText w:val="o"/>
      <w:lvlJc w:val="left"/>
      <w:pPr>
        <w:tabs>
          <w:tab w:val="num" w:pos="3240"/>
        </w:tabs>
        <w:ind w:left="5760" w:hanging="360"/>
      </w:pPr>
      <w:rPr>
        <w:rFonts w:ascii="Courier New" w:hAnsi="Courier New" w:cs="Courier New" w:hint="default"/>
      </w:rPr>
    </w:lvl>
    <w:lvl w:ilvl="8">
      <w:start w:val="1"/>
      <w:numFmt w:val="bullet"/>
      <w:lvlText w:val=""/>
      <w:lvlJc w:val="left"/>
      <w:pPr>
        <w:tabs>
          <w:tab w:val="num" w:pos="3600"/>
        </w:tabs>
        <w:ind w:left="6480" w:hanging="360"/>
      </w:pPr>
      <w:rPr>
        <w:rFonts w:ascii="Wingdings" w:hAnsi="Wingdings" w:cs="Wingdings" w:hint="default"/>
      </w:rPr>
    </w:lvl>
  </w:abstractNum>
  <w:abstractNum w:abstractNumId="30">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hyphenationZone w:val="283"/>
  <w:themeFontLang w:val="it-IT"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2"/>
        <w:lang w:val="it-IT"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59" w:before="0" w:after="160"/>
      <w:jc w:val="left"/>
    </w:pPr>
    <w:rPr>
      <w:rFonts w:ascii="Calibri" w:hAnsi="Calibri" w:eastAsia="Calibri" w:cs="" w:asciiTheme="minorHAnsi" w:cstheme="minorBidi" w:eastAsiaTheme="minorHAnsi" w:hAnsiTheme="minorHAnsi"/>
      <w:color w:val="auto"/>
      <w:kern w:val="0"/>
      <w:sz w:val="22"/>
      <w:szCs w:val="22"/>
      <w:lang w:val="it-IT" w:eastAsia="en-US" w:bidi="ar-SA"/>
    </w:rPr>
  </w:style>
  <w:style w:type="character" w:styleId="DefaultParagraphFont" w:default="1">
    <w:name w:val="Default Paragraph Font"/>
    <w:uiPriority w:val="1"/>
    <w:semiHidden/>
    <w:unhideWhenUsed/>
    <w:qFormat/>
    <w:rPr/>
  </w:style>
  <w:style w:type="character" w:styleId="TestonormaleCarattere" w:customStyle="1">
    <w:name w:val="Testo normale Carattere"/>
    <w:basedOn w:val="DefaultParagraphFont"/>
    <w:link w:val="Testonormale"/>
    <w:uiPriority w:val="99"/>
    <w:qFormat/>
    <w:rsid w:val="00af63b8"/>
    <w:rPr>
      <w:rFonts w:ascii="Consolas" w:hAnsi="Consolas"/>
      <w:sz w:val="21"/>
      <w:szCs w:val="21"/>
    </w:rPr>
  </w:style>
  <w:style w:type="character" w:styleId="IntestazioneCarattere" w:customStyle="1">
    <w:name w:val="Intestazione Carattere"/>
    <w:basedOn w:val="DefaultParagraphFont"/>
    <w:link w:val="Intestazione"/>
    <w:uiPriority w:val="99"/>
    <w:qFormat/>
    <w:rsid w:val="00ee1d2f"/>
    <w:rPr/>
  </w:style>
  <w:style w:type="character" w:styleId="PidipaginaCarattere" w:customStyle="1">
    <w:name w:val="Piè di pagina Carattere"/>
    <w:basedOn w:val="DefaultParagraphFont"/>
    <w:link w:val="Pidipagina"/>
    <w:uiPriority w:val="99"/>
    <w:qFormat/>
    <w:rsid w:val="00ee1d2f"/>
    <w:rPr/>
  </w:style>
  <w:style w:type="paragraph" w:styleId="Titolo">
    <w:name w:val="Titolo"/>
    <w:basedOn w:val="Normal"/>
    <w:next w:val="Corpodeltesto"/>
    <w:qFormat/>
    <w:pPr>
      <w:keepNext w:val="true"/>
      <w:spacing w:before="240" w:after="120"/>
    </w:pPr>
    <w:rPr>
      <w:rFonts w:ascii="Liberation Sans" w:hAnsi="Liberation Sans" w:eastAsia="Microsoft YaHei" w:cs="Arial"/>
      <w:sz w:val="28"/>
      <w:szCs w:val="28"/>
    </w:rPr>
  </w:style>
  <w:style w:type="paragraph" w:styleId="Corpodeltesto">
    <w:name w:val="Body Text"/>
    <w:basedOn w:val="Normal"/>
    <w:pPr>
      <w:spacing w:lineRule="auto" w:line="276" w:before="0" w:after="140"/>
    </w:pPr>
    <w:rPr/>
  </w:style>
  <w:style w:type="paragraph" w:styleId="Elenco">
    <w:name w:val="List"/>
    <w:basedOn w:val="Corpodeltesto"/>
    <w:pPr/>
    <w:rPr>
      <w:rFonts w:cs="Arial"/>
    </w:rPr>
  </w:style>
  <w:style w:type="paragraph" w:styleId="Didascalia">
    <w:name w:val="Caption"/>
    <w:basedOn w:val="Normal"/>
    <w:qFormat/>
    <w:pPr>
      <w:suppressLineNumbers/>
      <w:spacing w:before="120" w:after="120"/>
    </w:pPr>
    <w:rPr>
      <w:rFonts w:cs="Arial"/>
      <w:i/>
      <w:iCs/>
      <w:sz w:val="24"/>
      <w:szCs w:val="24"/>
    </w:rPr>
  </w:style>
  <w:style w:type="paragraph" w:styleId="Indice">
    <w:name w:val="Indice"/>
    <w:basedOn w:val="Normal"/>
    <w:qFormat/>
    <w:pPr>
      <w:suppressLineNumbers/>
    </w:pPr>
    <w:rPr>
      <w:rFonts w:cs="Arial"/>
    </w:rPr>
  </w:style>
  <w:style w:type="paragraph" w:styleId="PlainText">
    <w:name w:val="Plain Text"/>
    <w:basedOn w:val="Normal"/>
    <w:link w:val="TestonormaleCarattere"/>
    <w:uiPriority w:val="99"/>
    <w:unhideWhenUsed/>
    <w:qFormat/>
    <w:rsid w:val="00af63b8"/>
    <w:pPr>
      <w:spacing w:lineRule="auto" w:line="240" w:before="0" w:after="0"/>
    </w:pPr>
    <w:rPr>
      <w:rFonts w:ascii="Consolas" w:hAnsi="Consolas"/>
      <w:sz w:val="21"/>
      <w:szCs w:val="21"/>
    </w:rPr>
  </w:style>
  <w:style w:type="paragraph" w:styleId="Intestazioneepidipagina">
    <w:name w:val="Intestazione e piè di pagina"/>
    <w:basedOn w:val="Normal"/>
    <w:qFormat/>
    <w:pPr/>
    <w:rPr/>
  </w:style>
  <w:style w:type="paragraph" w:styleId="Intestazione">
    <w:name w:val="Header"/>
    <w:basedOn w:val="Normal"/>
    <w:link w:val="IntestazioneCarattere"/>
    <w:uiPriority w:val="99"/>
    <w:unhideWhenUsed/>
    <w:rsid w:val="00ee1d2f"/>
    <w:pPr>
      <w:tabs>
        <w:tab w:val="clear" w:pos="708"/>
        <w:tab w:val="center" w:pos="4819" w:leader="none"/>
        <w:tab w:val="right" w:pos="9638" w:leader="none"/>
      </w:tabs>
      <w:spacing w:lineRule="auto" w:line="240" w:before="0" w:after="0"/>
    </w:pPr>
    <w:rPr/>
  </w:style>
  <w:style w:type="paragraph" w:styleId="Pidipagina">
    <w:name w:val="Footer"/>
    <w:basedOn w:val="Normal"/>
    <w:link w:val="PidipaginaCarattere"/>
    <w:uiPriority w:val="99"/>
    <w:unhideWhenUsed/>
    <w:rsid w:val="00ee1d2f"/>
    <w:pPr>
      <w:tabs>
        <w:tab w:val="clear" w:pos="708"/>
        <w:tab w:val="center" w:pos="4819" w:leader="none"/>
        <w:tab w:val="right" w:pos="9638" w:leader="none"/>
      </w:tabs>
      <w:spacing w:lineRule="auto" w:line="240" w:before="0" w:after="0"/>
    </w:pPr>
    <w:rPr/>
  </w:style>
  <w:style w:type="paragraph" w:styleId="NoSpacing">
    <w:name w:val="No Spacing"/>
    <w:qFormat/>
    <w:rsid w:val="00613f20"/>
    <w:pPr>
      <w:widowControl/>
      <w:suppressAutoHyphens w:val="true"/>
      <w:bidi w:val="0"/>
      <w:spacing w:lineRule="auto" w:line="240" w:before="0" w:after="0"/>
      <w:jc w:val="both"/>
    </w:pPr>
    <w:rPr>
      <w:rFonts w:ascii="Liberation Serif" w:hAnsi="Liberation Serif" w:eastAsia="NSimSun" w:cs="Mangal"/>
      <w:color w:val="auto"/>
      <w:kern w:val="2"/>
      <w:sz w:val="24"/>
      <w:szCs w:val="21"/>
      <w:lang w:val="it-IT" w:eastAsia="zh-CN" w:bidi="hi-IN"/>
    </w:rPr>
  </w:style>
  <w:style w:type="numbering" w:styleId="NoList" w:default="1">
    <w:name w:val="No List"/>
    <w:uiPriority w:val="99"/>
    <w:semiHidden/>
    <w:unhideWhenUsed/>
    <w:qFormat/>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png"/><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jpeg"/><Relationship Id="rId22" Type="http://schemas.openxmlformats.org/officeDocument/2006/relationships/image" Target="media/image21.jpeg"/><Relationship Id="rId23" Type="http://schemas.openxmlformats.org/officeDocument/2006/relationships/image" Target="media/image22.jpeg"/><Relationship Id="rId24" Type="http://schemas.openxmlformats.org/officeDocument/2006/relationships/image" Target="media/image23.jpeg"/><Relationship Id="rId25" Type="http://schemas.openxmlformats.org/officeDocument/2006/relationships/image" Target="media/image24.jpeg"/><Relationship Id="rId26" Type="http://schemas.openxmlformats.org/officeDocument/2006/relationships/image" Target="media/image25.jpeg"/><Relationship Id="rId27" Type="http://schemas.openxmlformats.org/officeDocument/2006/relationships/image" Target="media/image26.jpeg"/><Relationship Id="rId28" Type="http://schemas.openxmlformats.org/officeDocument/2006/relationships/header" Target="header1.xml"/><Relationship Id="rId29" Type="http://schemas.openxmlformats.org/officeDocument/2006/relationships/numbering" Target="numbering.xml"/><Relationship Id="rId30" Type="http://schemas.openxmlformats.org/officeDocument/2006/relationships/fontTable" Target="fontTable.xml"/><Relationship Id="rId31" Type="http://schemas.openxmlformats.org/officeDocument/2006/relationships/settings" Target="settings.xml"/><Relationship Id="rId32" Type="http://schemas.openxmlformats.org/officeDocument/2006/relationships/theme" Target="theme/theme1.xml"/><Relationship Id="rId33"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27.png"/>
</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6C59B5-EF0B-4329-923C-CF92F46A7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Application>LibreOffice/6.4.5.2$Windows_X86_64 LibreOffice_project/a726b36747cf2001e06b58ad5db1aa3a9a1872d6</Application>
  <Pages>104</Pages>
  <Words>5607</Words>
  <Characters>31969</Characters>
  <CharactersWithSpaces>37054</CharactersWithSpaces>
  <Paragraphs>483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2022-11-18T12:25:00Z</dcterms:created>
  <dc:creator>Costanza Luppoli</dc:creator>
  <dc:description/>
  <dc:language>it-IT</dc:language>
  <cp:lastModifiedBy/>
  <cp:lastPrinted>2022-12-02T10:04:00Z</cp:lastPrinted>
  <dcterms:modified xsi:type="dcterms:W3CDTF">2022-12-22T16:59:01Z</dcterms:modified>
  <cp:revision>11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